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78207" w14:textId="5B008A2F" w:rsidR="00841BCD" w:rsidRPr="00912542" w:rsidRDefault="782A94D9" w:rsidP="508F655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lang w:eastAsia="ja-JP"/>
        </w:rPr>
      </w:pPr>
      <w:bookmarkStart w:id="0" w:name="OLE_LINK5"/>
      <w:bookmarkStart w:id="1" w:name="OLE_LINK6"/>
      <w:r w:rsidRPr="7B58FFD8">
        <w:rPr>
          <w:rFonts w:ascii="Arial" w:eastAsia="SimSun" w:hAnsi="Arial" w:cs="Times New Roman"/>
          <w:b/>
          <w:bCs/>
          <w:sz w:val="24"/>
          <w:szCs w:val="24"/>
        </w:rPr>
        <w:t>3GPP T</w:t>
      </w:r>
      <w:bookmarkStart w:id="2" w:name="_Ref452454252"/>
      <w:bookmarkEnd w:id="2"/>
      <w:r w:rsidRPr="7B58FFD8">
        <w:rPr>
          <w:rFonts w:ascii="Arial" w:eastAsia="SimSun" w:hAnsi="Arial" w:cs="Times New Roman"/>
          <w:b/>
          <w:bCs/>
          <w:sz w:val="24"/>
          <w:szCs w:val="24"/>
        </w:rPr>
        <w:t xml:space="preserve">SG-RAN </w:t>
      </w:r>
      <w:r w:rsidR="3E5C2564" w:rsidRPr="7B58FFD8">
        <w:rPr>
          <w:rFonts w:ascii="Arial" w:eastAsia="SimSun" w:hAnsi="Arial" w:cs="Times New Roman"/>
          <w:b/>
          <w:bCs/>
          <w:sz w:val="24"/>
          <w:szCs w:val="24"/>
        </w:rPr>
        <w:t>WG4 Meeting #</w:t>
      </w:r>
      <w:r w:rsidR="04BF67A9" w:rsidRPr="7B58FFD8">
        <w:rPr>
          <w:rFonts w:ascii="Arial" w:eastAsia="SimSun" w:hAnsi="Arial" w:cs="Times New Roman"/>
          <w:b/>
          <w:bCs/>
          <w:sz w:val="24"/>
          <w:szCs w:val="24"/>
        </w:rPr>
        <w:t>10</w:t>
      </w:r>
      <w:r w:rsidR="4D580202" w:rsidRPr="7B58FFD8">
        <w:rPr>
          <w:rFonts w:ascii="Arial" w:eastAsia="SimSun" w:hAnsi="Arial" w:cs="Times New Roman"/>
          <w:b/>
          <w:bCs/>
          <w:sz w:val="24"/>
          <w:szCs w:val="24"/>
        </w:rPr>
        <w:t>6</w:t>
      </w:r>
      <w:r w:rsidR="6AB4AB28" w:rsidRPr="7B58FFD8">
        <w:rPr>
          <w:rFonts w:ascii="Arial" w:eastAsia="SimSun" w:hAnsi="Arial" w:cs="Times New Roman"/>
          <w:b/>
          <w:bCs/>
          <w:sz w:val="24"/>
          <w:szCs w:val="24"/>
        </w:rPr>
        <w:t xml:space="preserve"> </w:t>
      </w:r>
      <w:r w:rsidR="00841BCD">
        <w:tab/>
      </w:r>
      <w:r w:rsidR="60A47875" w:rsidRPr="00912542">
        <w:rPr>
          <w:rFonts w:ascii="Arial" w:eastAsia="SimSun" w:hAnsi="Arial" w:cs="Times New Roman"/>
          <w:b/>
          <w:bCs/>
          <w:sz w:val="24"/>
          <w:szCs w:val="24"/>
          <w:lang w:eastAsia="ja-JP"/>
        </w:rPr>
        <w:t>R4-</w:t>
      </w:r>
      <w:r w:rsidR="1382924D" w:rsidRPr="00912542">
        <w:rPr>
          <w:rFonts w:ascii="Arial" w:eastAsia="SimSun" w:hAnsi="Arial" w:cs="Times New Roman"/>
          <w:b/>
          <w:bCs/>
          <w:sz w:val="24"/>
          <w:szCs w:val="24"/>
          <w:lang w:eastAsia="ja-JP"/>
        </w:rPr>
        <w:t>2300</w:t>
      </w:r>
      <w:r w:rsidR="1F828948" w:rsidRPr="00912542">
        <w:rPr>
          <w:rFonts w:ascii="Arial" w:eastAsia="SimSun" w:hAnsi="Arial" w:cs="Times New Roman"/>
          <w:b/>
          <w:bCs/>
          <w:sz w:val="24"/>
          <w:szCs w:val="24"/>
          <w:lang w:eastAsia="ja-JP"/>
        </w:rPr>
        <w:t>638</w:t>
      </w:r>
    </w:p>
    <w:p w14:paraId="567414EB" w14:textId="21F9201C" w:rsidR="00841BCD" w:rsidRPr="00EF698B" w:rsidRDefault="009B6A73"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27</w:t>
      </w:r>
      <w:r w:rsidRPr="009B6A73">
        <w:rPr>
          <w:rFonts w:ascii="Arial" w:eastAsia="SimSun" w:hAnsi="Arial" w:cs="Times New Roman"/>
          <w:b/>
          <w:sz w:val="24"/>
          <w:szCs w:val="20"/>
          <w:vertAlign w:val="superscript"/>
        </w:rPr>
        <w:t>th</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Pr="009B6A73">
        <w:rPr>
          <w:rFonts w:ascii="Arial" w:eastAsia="SimSun" w:hAnsi="Arial" w:cs="Times New Roman"/>
          <w:b/>
          <w:sz w:val="24"/>
          <w:szCs w:val="20"/>
          <w:vertAlign w:val="superscript"/>
        </w:rPr>
        <w:t>rd</w:t>
      </w:r>
      <w:r w:rsidR="00A04992"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3E535510"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DF30A8D"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FE87E7F" w14:textId="3051F7C6" w:rsidR="00841BCD" w:rsidRPr="00EF698B" w:rsidRDefault="00841BCD" w:rsidP="54FD40EE">
      <w:pPr>
        <w:ind w:left="1985" w:hanging="1985"/>
        <w:rPr>
          <w:rFonts w:ascii="Arial" w:eastAsia="Calibri" w:hAnsi="Arial" w:cs="Arial"/>
          <w:b/>
          <w:bCs/>
          <w:sz w:val="24"/>
          <w:szCs w:val="24"/>
        </w:rPr>
      </w:pPr>
      <w:r w:rsidRPr="54FD40EE">
        <w:rPr>
          <w:rFonts w:ascii="Arial" w:eastAsia="Calibri" w:hAnsi="Arial" w:cs="Arial"/>
          <w:b/>
          <w:bCs/>
          <w:sz w:val="24"/>
          <w:szCs w:val="24"/>
        </w:rPr>
        <w:t>Title:</w:t>
      </w:r>
      <w:r>
        <w:tab/>
      </w:r>
      <w:r w:rsidR="00BC1604" w:rsidRPr="00BC1604">
        <w:rPr>
          <w:rFonts w:ascii="Arial" w:eastAsia="Calibri" w:hAnsi="Arial" w:cs="Arial"/>
          <w:b/>
          <w:bCs/>
          <w:sz w:val="24"/>
          <w:szCs w:val="24"/>
        </w:rPr>
        <w:t xml:space="preserve">UE power limitation for </w:t>
      </w:r>
      <w:proofErr w:type="spellStart"/>
      <w:r w:rsidR="00BC1604" w:rsidRPr="00BC1604">
        <w:rPr>
          <w:rFonts w:ascii="Arial" w:eastAsia="Calibri" w:hAnsi="Arial" w:cs="Arial"/>
          <w:b/>
          <w:bCs/>
          <w:sz w:val="24"/>
          <w:szCs w:val="24"/>
        </w:rPr>
        <w:t>STxMP</w:t>
      </w:r>
      <w:proofErr w:type="spellEnd"/>
      <w:r w:rsidR="00BC1604" w:rsidRPr="00BC1604">
        <w:rPr>
          <w:rFonts w:ascii="Arial" w:eastAsia="Calibri" w:hAnsi="Arial" w:cs="Arial"/>
          <w:b/>
          <w:bCs/>
          <w:sz w:val="24"/>
          <w:szCs w:val="24"/>
        </w:rPr>
        <w:t xml:space="preserve"> in FR2</w:t>
      </w:r>
    </w:p>
    <w:p w14:paraId="6549753F" w14:textId="78A13577" w:rsidR="00841BCD" w:rsidRPr="008C1AF3" w:rsidRDefault="00841BCD" w:rsidP="4CF99B53">
      <w:pPr>
        <w:tabs>
          <w:tab w:val="left" w:pos="1985"/>
        </w:tabs>
        <w:spacing w:after="120" w:line="240" w:lineRule="auto"/>
        <w:rPr>
          <w:rFonts w:ascii="Arial" w:eastAsia="MS Mincho" w:hAnsi="Arial" w:cs="Arial"/>
          <w:b/>
          <w:bCs/>
          <w:sz w:val="24"/>
          <w:szCs w:val="24"/>
          <w:highlight w:val="yellow"/>
          <w:lang w:val="pt-BR"/>
        </w:rPr>
      </w:pPr>
      <w:r w:rsidRPr="00912542">
        <w:rPr>
          <w:rFonts w:ascii="Arial" w:eastAsia="MS Mincho" w:hAnsi="Arial" w:cs="Arial"/>
          <w:b/>
          <w:bCs/>
          <w:sz w:val="24"/>
          <w:szCs w:val="24"/>
          <w:lang w:val="pt-BR"/>
        </w:rPr>
        <w:t>Agenda item:</w:t>
      </w:r>
      <w:r>
        <w:tab/>
      </w:r>
      <w:r w:rsidR="00A04DB6" w:rsidRPr="00A04DB6">
        <w:rPr>
          <w:rFonts w:ascii="Arial" w:eastAsia="MS Mincho" w:hAnsi="Arial" w:cs="Arial"/>
          <w:b/>
          <w:bCs/>
          <w:sz w:val="24"/>
          <w:szCs w:val="24"/>
          <w:lang w:val="pt-BR"/>
        </w:rPr>
        <w:t>9.28.2.</w:t>
      </w:r>
      <w:r w:rsidR="00066033">
        <w:rPr>
          <w:rFonts w:ascii="Arial" w:eastAsia="MS Mincho" w:hAnsi="Arial" w:cs="Arial"/>
          <w:b/>
          <w:bCs/>
          <w:sz w:val="24"/>
          <w:szCs w:val="24"/>
          <w:lang w:val="pt-BR"/>
        </w:rPr>
        <w:t>1</w:t>
      </w:r>
    </w:p>
    <w:p w14:paraId="4E23EB0C" w14:textId="77777777" w:rsidR="00D66188" w:rsidRPr="008C1AF3" w:rsidRDefault="00841BCD" w:rsidP="00841BCD">
      <w:pPr>
        <w:tabs>
          <w:tab w:val="left" w:pos="1985"/>
        </w:tabs>
        <w:rPr>
          <w:rFonts w:ascii="Arial" w:eastAsia="Calibri" w:hAnsi="Arial" w:cs="Arial"/>
          <w:b/>
          <w:bCs/>
          <w:sz w:val="24"/>
          <w:lang w:val="pt-BR"/>
        </w:rPr>
      </w:pPr>
      <w:proofErr w:type="spellStart"/>
      <w:r w:rsidRPr="008C1AF3">
        <w:rPr>
          <w:rFonts w:ascii="Arial" w:eastAsia="Calibri" w:hAnsi="Arial" w:cs="Arial"/>
          <w:b/>
          <w:bCs/>
          <w:sz w:val="24"/>
          <w:lang w:val="pt-BR"/>
        </w:rPr>
        <w:t>Document</w:t>
      </w:r>
      <w:proofErr w:type="spellEnd"/>
      <w:r w:rsidRPr="008C1AF3">
        <w:rPr>
          <w:rFonts w:ascii="Arial" w:eastAsia="Calibri" w:hAnsi="Arial" w:cs="Arial"/>
          <w:b/>
          <w:bCs/>
          <w:sz w:val="24"/>
          <w:lang w:val="pt-BR"/>
        </w:rPr>
        <w:t xml:space="preserve"> for:</w:t>
      </w:r>
      <w:r w:rsidRPr="008C1AF3">
        <w:rPr>
          <w:rFonts w:ascii="Arial" w:eastAsia="Calibri" w:hAnsi="Arial" w:cs="Arial"/>
          <w:b/>
          <w:bCs/>
          <w:sz w:val="24"/>
          <w:lang w:val="pt-BR"/>
        </w:rPr>
        <w:tab/>
      </w:r>
      <w:proofErr w:type="spellStart"/>
      <w:r w:rsidR="00AE6D09" w:rsidRPr="008C1AF3">
        <w:rPr>
          <w:rFonts w:ascii="Arial" w:eastAsia="Calibri" w:hAnsi="Arial" w:cs="Arial"/>
          <w:b/>
          <w:bCs/>
          <w:sz w:val="24"/>
          <w:lang w:val="pt-BR"/>
        </w:rPr>
        <w:t>Discussion</w:t>
      </w:r>
      <w:proofErr w:type="spellEnd"/>
    </w:p>
    <w:p w14:paraId="52FCFA2F" w14:textId="77777777" w:rsidR="00841BCD" w:rsidRPr="00EF698B" w:rsidRDefault="00841BCD" w:rsidP="00A37002">
      <w:pPr>
        <w:pStyle w:val="RAN4H1"/>
        <w:rPr>
          <w:lang w:val="en-US"/>
        </w:rPr>
      </w:pPr>
      <w:bookmarkStart w:id="3" w:name="_Toc116995841"/>
      <w:r w:rsidRPr="5A491E1E">
        <w:rPr>
          <w:lang w:val="en-US"/>
        </w:rPr>
        <w:t>Intro</w:t>
      </w:r>
      <w:r w:rsidRPr="5A491E1E">
        <w:rPr>
          <w:rStyle w:val="RAN4H1Char"/>
          <w:lang w:val="en-US"/>
        </w:rPr>
        <w:t>ductio</w:t>
      </w:r>
      <w:r w:rsidRPr="5A491E1E">
        <w:rPr>
          <w:lang w:val="en-US"/>
        </w:rPr>
        <w:t>n</w:t>
      </w:r>
      <w:bookmarkEnd w:id="3"/>
    </w:p>
    <w:p w14:paraId="5B6FC099" w14:textId="4ACF340E" w:rsidR="00C77BF7" w:rsidRDefault="00C77BF7" w:rsidP="005C23A4">
      <w:r>
        <w:t xml:space="preserve">In RAN #94e, the MIMO evolution downlink and uplink was approved in </w:t>
      </w:r>
      <w:r>
        <w:rPr>
          <w:color w:val="2B579A"/>
          <w:shd w:val="clear" w:color="auto" w:fill="E6E6E6"/>
        </w:rPr>
        <w:fldChar w:fldCharType="begin"/>
      </w:r>
      <w:r>
        <w:instrText xml:space="preserve"> REF _Ref117252489 \r \h </w:instrText>
      </w:r>
      <w:r>
        <w:rPr>
          <w:color w:val="2B579A"/>
          <w:shd w:val="clear" w:color="auto" w:fill="E6E6E6"/>
        </w:rPr>
      </w:r>
      <w:r>
        <w:rPr>
          <w:color w:val="2B579A"/>
          <w:shd w:val="clear" w:color="auto" w:fill="E6E6E6"/>
        </w:rPr>
        <w:fldChar w:fldCharType="separate"/>
      </w:r>
      <w:r w:rsidR="000537C8">
        <w:t>[1]</w:t>
      </w:r>
      <w:r>
        <w:rPr>
          <w:color w:val="2B579A"/>
          <w:shd w:val="clear" w:color="auto" w:fill="E6E6E6"/>
        </w:rPr>
        <w:fldChar w:fldCharType="end"/>
      </w:r>
      <w:r>
        <w:t xml:space="preserve">. Among its objectives, there is the study and specification of </w:t>
      </w:r>
      <w:proofErr w:type="spellStart"/>
      <w:r w:rsidR="00C067D2">
        <w:t>STxMP</w:t>
      </w:r>
      <w:proofErr w:type="spellEnd"/>
      <w:r w:rsidR="00C067D2">
        <w:t xml:space="preserve"> for</w:t>
      </w:r>
      <w:r>
        <w:t xml:space="preserve"> multi-TRP operations: </w:t>
      </w:r>
    </w:p>
    <w:tbl>
      <w:tblPr>
        <w:tblStyle w:val="TableGrid"/>
        <w:tblW w:w="0" w:type="auto"/>
        <w:tblLook w:val="04A0" w:firstRow="1" w:lastRow="0" w:firstColumn="1" w:lastColumn="0" w:noHBand="0" w:noVBand="1"/>
      </w:tblPr>
      <w:tblGrid>
        <w:gridCol w:w="9617"/>
      </w:tblGrid>
      <w:tr w:rsidR="00B542DA" w14:paraId="6A5CCDF8" w14:textId="77777777" w:rsidTr="54FD40EE">
        <w:tc>
          <w:tcPr>
            <w:tcW w:w="9617" w:type="dxa"/>
          </w:tcPr>
          <w:p w14:paraId="09BB520A" w14:textId="4B32341A" w:rsidR="00B542DA" w:rsidRDefault="004A7666" w:rsidP="004A7666">
            <w:r>
              <w:t xml:space="preserve"> </w:t>
            </w:r>
            <w:r w:rsidR="008366E7" w:rsidRPr="008366E7">
              <w:t xml:space="preserve"> </w:t>
            </w:r>
          </w:p>
          <w:p w14:paraId="5C9B9CE6" w14:textId="77777777" w:rsidR="004A7666" w:rsidRDefault="004A7666" w:rsidP="004A7666">
            <w:r>
              <w:t>1. Study, and if justified, specify CSI reporting enhancement for high/medium UE velocities by exploiting time-domain correlation/Doppler-domain information to assist DL precoding, targeting FR1, as follows:</w:t>
            </w:r>
          </w:p>
          <w:p w14:paraId="58DF0017" w14:textId="77777777" w:rsidR="004A7666" w:rsidRDefault="004A7666" w:rsidP="004A7666">
            <w:r>
              <w:tab/>
              <w:t>- Rel-16/17 Type-II codebook refinement, without modification to the spatial and frequency domain basis</w:t>
            </w:r>
          </w:p>
          <w:p w14:paraId="7E1358B4" w14:textId="786831E1" w:rsidR="004A7666" w:rsidRDefault="004A7666" w:rsidP="004A7666">
            <w:r>
              <w:tab/>
              <w:t>- UE reporting of time-domain channel properties measured via CSI-RS for tracking</w:t>
            </w:r>
          </w:p>
          <w:p w14:paraId="504E82D8" w14:textId="77777777" w:rsidR="007D465C" w:rsidRDefault="007D465C" w:rsidP="004A7666"/>
          <w:p w14:paraId="473EF63D" w14:textId="77777777" w:rsidR="004A7666" w:rsidRDefault="004A7666" w:rsidP="004A7666">
            <w:r>
              <w:t>2. Specify extension of Rel-17 Unified TCI framework for indication of multiple DL and UL TCI states focusing on multi-TRP use case, using Rel-17 unified TCI framework.</w:t>
            </w:r>
          </w:p>
          <w:p w14:paraId="30BF2608" w14:textId="77777777" w:rsidR="007D465C" w:rsidRDefault="007D465C" w:rsidP="004A7666"/>
          <w:p w14:paraId="55795DF2" w14:textId="6EFE66EB" w:rsidR="004A7666" w:rsidRDefault="004A7666" w:rsidP="004A7666">
            <w:r>
              <w:t>3. Study, and if justified, specify larger number of orthogonal DMRS ports for downlink and uplink MU-MIMO (without increasing the DM-RS overhead), only for CP-OFDM,</w:t>
            </w:r>
          </w:p>
          <w:p w14:paraId="2C15FA50" w14:textId="77777777" w:rsidR="004A7666" w:rsidRDefault="004A7666" w:rsidP="004A7666">
            <w:r>
              <w:tab/>
              <w:t>- Striving for a common design between DL and UL DMRS</w:t>
            </w:r>
          </w:p>
          <w:p w14:paraId="62308A08" w14:textId="77777777" w:rsidR="004A7666" w:rsidRDefault="004A7666" w:rsidP="004A7666">
            <w:r>
              <w:tab/>
              <w:t>- Up to 24 orthogonal DM-RS ports, where for each applicable DMRS type, the maximum number of orthogonal ports is doubled for both single- and double-symbol DMRS</w:t>
            </w:r>
          </w:p>
          <w:p w14:paraId="40465010" w14:textId="77777777" w:rsidR="007D465C" w:rsidRDefault="007D465C" w:rsidP="004A7666"/>
          <w:p w14:paraId="7B2C2CDE" w14:textId="3022C0AC" w:rsidR="004A7666" w:rsidRDefault="004A7666" w:rsidP="004A7666">
            <w:r>
              <w:t>4. Study, and if justified, specify enhancements of CSI acquisition for Coherent-JT targeting FR1 and up to 4 TRPs, assuming ideal backhaul and synchronization as well as the same number of antenna ports across TRPs, as follows:</w:t>
            </w:r>
          </w:p>
          <w:p w14:paraId="68C24A4A" w14:textId="77777777" w:rsidR="004A7666" w:rsidRDefault="004A7666" w:rsidP="004A7666">
            <w:r>
              <w:tab/>
              <w:t xml:space="preserve">- Rel-16/17 Type-II codebook refinement for CJT </w:t>
            </w:r>
            <w:proofErr w:type="spellStart"/>
            <w:r>
              <w:t>mTRP</w:t>
            </w:r>
            <w:proofErr w:type="spellEnd"/>
            <w:r>
              <w:t xml:space="preserve"> targeting FDD and its associated CSI reporting, </w:t>
            </w:r>
            <w:proofErr w:type="gramStart"/>
            <w:r>
              <w:t>taking into account</w:t>
            </w:r>
            <w:proofErr w:type="gramEnd"/>
            <w:r>
              <w:t xml:space="preserve"> throughput-overhead trade-off</w:t>
            </w:r>
          </w:p>
          <w:p w14:paraId="00A8ECA7" w14:textId="77777777" w:rsidR="004A7666" w:rsidRDefault="004A7666" w:rsidP="004A7666">
            <w:r>
              <w:tab/>
              <w:t>- 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6B8B6821" w14:textId="77777777" w:rsidR="004A7666" w:rsidRDefault="004A7666" w:rsidP="004A7666">
            <w:r>
              <w:tab/>
              <w:t xml:space="preserve">- Note: the maximum number of CSI-RS ports per resource remains the same as in Rel-17, </w:t>
            </w:r>
            <w:proofErr w:type="gramStart"/>
            <w:r>
              <w:t>i.e.</w:t>
            </w:r>
            <w:proofErr w:type="gramEnd"/>
            <w:r>
              <w:t xml:space="preserve"> 32</w:t>
            </w:r>
          </w:p>
          <w:p w14:paraId="4570B2C5" w14:textId="77777777" w:rsidR="007D465C" w:rsidRDefault="007D465C" w:rsidP="004A7666"/>
          <w:p w14:paraId="5E26B34C" w14:textId="647A5DE3" w:rsidR="004A7666" w:rsidRDefault="004A7666" w:rsidP="004A7666">
            <w:r>
              <w:t>5. Study, and if justified, specify UL DMRS, SRS, SRI, and TPMI (including codebook) enhancements to enable 8 Tx UL operation to support 4 and more layers per UE in UL targeting CPE/FWA/vehicle/Industrial devices</w:t>
            </w:r>
          </w:p>
          <w:p w14:paraId="0DB952FD" w14:textId="77777777" w:rsidR="004A7666" w:rsidRDefault="004A7666" w:rsidP="004A7666">
            <w:r>
              <w:tab/>
              <w:t>- Note: Potential restrictions on the scope of this objective (including coherence assumption, full/non-full power modes) will be identified as part of the study.</w:t>
            </w:r>
          </w:p>
          <w:p w14:paraId="4813C863" w14:textId="77777777" w:rsidR="007D465C" w:rsidRDefault="007D465C" w:rsidP="004A7666"/>
          <w:p w14:paraId="19B1685D" w14:textId="0F86F939" w:rsidR="004A7666" w:rsidRDefault="004A7666" w:rsidP="004A7666">
            <w:r>
              <w:t>6. 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45FD70F5" w14:textId="77777777" w:rsidR="004A7666" w:rsidRDefault="004A7666" w:rsidP="004A7666">
            <w:r>
              <w:tab/>
              <w:t>- UL precoding indication for PUSCH, where no new codebook is introduced for multi-panel simultaneous transmission</w:t>
            </w:r>
          </w:p>
          <w:p w14:paraId="26E3312F" w14:textId="77777777" w:rsidR="004A7666" w:rsidRDefault="004A7666" w:rsidP="004A7666">
            <w:r>
              <w:tab/>
            </w:r>
            <w:r>
              <w:tab/>
              <w:t>• The total number of layers is up to four across all panels and total number of codewords is up to two across all panels, considering single DCI and multi-DCI based multi-TRP operation.</w:t>
            </w:r>
          </w:p>
          <w:p w14:paraId="74E2AB2B" w14:textId="77777777" w:rsidR="004A7666" w:rsidRDefault="004A7666" w:rsidP="004A7666">
            <w:r>
              <w:tab/>
              <w:t>- UL beam indication for PUCCH/PUSCH, where unified TCI framework extension in objective 2 is assumed, considering single DCI and multi-DCI based multi-TRP operation</w:t>
            </w:r>
          </w:p>
          <w:p w14:paraId="36CD7B52" w14:textId="77777777" w:rsidR="004A7666" w:rsidRDefault="004A7666" w:rsidP="004A7666">
            <w:r>
              <w:tab/>
            </w:r>
            <w:r>
              <w:tab/>
              <w:t>• For the case of multi-DCI based multi-TRP operation, only PUSCH+PUSCH, or PUCCH+PUCCH is transmitted across two panels in a same CC.</w:t>
            </w:r>
          </w:p>
          <w:p w14:paraId="7B7DFED5" w14:textId="77777777" w:rsidR="007D465C" w:rsidRDefault="007D465C" w:rsidP="004A7666"/>
          <w:p w14:paraId="0400C572" w14:textId="39FB5F26" w:rsidR="004A7666" w:rsidRDefault="004A7666" w:rsidP="004A7666">
            <w:r>
              <w:t xml:space="preserve">7. Study, and if justified, specify the following </w:t>
            </w:r>
          </w:p>
          <w:p w14:paraId="2CA352EC" w14:textId="77777777" w:rsidR="004A7666" w:rsidRDefault="004A7666" w:rsidP="004A7666">
            <w:r>
              <w:tab/>
              <w:t xml:space="preserve">- Two TAs for UL multi-DCI for multi-TRP operation </w:t>
            </w:r>
          </w:p>
          <w:p w14:paraId="10B0FD88" w14:textId="77777777" w:rsidR="004A7666" w:rsidRDefault="004A7666" w:rsidP="004A7666">
            <w:r>
              <w:lastRenderedPageBreak/>
              <w:tab/>
              <w:t>- Power control for UL single DCI for multi-TRP operation where unified TCI framework extension in objective 2 is assumed.</w:t>
            </w:r>
          </w:p>
          <w:p w14:paraId="67816717" w14:textId="70FAFD0E" w:rsidR="004A7666" w:rsidRDefault="004A7666" w:rsidP="004A7666">
            <w:r>
              <w:t>For the case of simultaneous UL transmission from multiple panels, the operation will only be limited to the objective 6 scenarios.</w:t>
            </w:r>
          </w:p>
        </w:tc>
      </w:tr>
    </w:tbl>
    <w:p w14:paraId="67CC0BE4" w14:textId="658474B3" w:rsidR="00B542DA" w:rsidRDefault="00B542DA" w:rsidP="005C23A4"/>
    <w:p w14:paraId="4E9127FE" w14:textId="3C11266F" w:rsidR="71FE6A86" w:rsidRDefault="004E6ECB" w:rsidP="004E6ECB">
      <w:r>
        <w:t xml:space="preserve">Previous </w:t>
      </w:r>
      <w:r w:rsidR="34692827">
        <w:t>RAN#1 agreements</w:t>
      </w:r>
      <w:r>
        <w:t xml:space="preserve"> [</w:t>
      </w:r>
      <w:r w:rsidR="314F1078" w:rsidRPr="004E6ECB">
        <w:t>R1- 2212878</w:t>
      </w:r>
      <w:r w:rsidRPr="004E6ECB">
        <w:t>]</w:t>
      </w:r>
      <w:r>
        <w:t>:</w:t>
      </w:r>
    </w:p>
    <w:tbl>
      <w:tblPr>
        <w:tblStyle w:val="TableGrid"/>
        <w:tblW w:w="9615" w:type="dxa"/>
        <w:tblInd w:w="5" w:type="dxa"/>
        <w:tblLayout w:type="fixed"/>
        <w:tblLook w:val="04A0" w:firstRow="1" w:lastRow="0" w:firstColumn="1" w:lastColumn="0" w:noHBand="0" w:noVBand="1"/>
      </w:tblPr>
      <w:tblGrid>
        <w:gridCol w:w="9615"/>
      </w:tblGrid>
      <w:tr w:rsidR="00F31747" w14:paraId="3712069A" w14:textId="77777777" w:rsidTr="00542D50">
        <w:trPr>
          <w:trHeight w:val="135"/>
        </w:trPr>
        <w:tc>
          <w:tcPr>
            <w:tcW w:w="9615" w:type="dxa"/>
            <w:shd w:val="clear" w:color="auto" w:fill="D9D9D9" w:themeFill="background1" w:themeFillShade="D9"/>
          </w:tcPr>
          <w:p w14:paraId="51BF6853" w14:textId="77777777" w:rsidR="00F31747" w:rsidRDefault="00F31747" w:rsidP="00542D50">
            <w:pPr>
              <w:jc w:val="center"/>
            </w:pPr>
            <w:r w:rsidRPr="4CF99B53">
              <w:rPr>
                <w:rFonts w:ascii="Arial" w:eastAsia="Arial" w:hAnsi="Arial" w:cs="Arial"/>
                <w:b/>
                <w:bCs/>
                <w:color w:val="000000" w:themeColor="text1"/>
                <w:sz w:val="18"/>
                <w:szCs w:val="18"/>
              </w:rPr>
              <w:t>RAN1#109e</w:t>
            </w:r>
          </w:p>
        </w:tc>
      </w:tr>
      <w:tr w:rsidR="00F31747" w14:paraId="227222AE" w14:textId="77777777" w:rsidTr="00793456">
        <w:trPr>
          <w:trHeight w:val="6240"/>
        </w:trPr>
        <w:tc>
          <w:tcPr>
            <w:tcW w:w="9615" w:type="dxa"/>
          </w:tcPr>
          <w:p w14:paraId="4994229A" w14:textId="77777777" w:rsidR="00F31747" w:rsidRDefault="00F31747" w:rsidP="00542D50">
            <w:r w:rsidRPr="4CF99B53">
              <w:rPr>
                <w:rFonts w:ascii="Times" w:eastAsia="Times" w:hAnsi="Times" w:cs="Times"/>
                <w:b/>
                <w:bCs/>
                <w:sz w:val="18"/>
                <w:szCs w:val="18"/>
                <w:highlight w:val="green"/>
              </w:rPr>
              <w:t>Agreement</w:t>
            </w:r>
          </w:p>
          <w:p w14:paraId="530053EC" w14:textId="77777777" w:rsidR="00F31747" w:rsidRDefault="00F31747" w:rsidP="00542D50">
            <w:r w:rsidRPr="4CF99B53">
              <w:rPr>
                <w:rFonts w:ascii="Times" w:eastAsia="Times" w:hAnsi="Times" w:cs="Times"/>
                <w:sz w:val="18"/>
                <w:szCs w:val="18"/>
              </w:rPr>
              <w:t>On unified TCI framework extension, consider all the intra and inter-cell MTRP schemes specified in Rel-16 and Rel-17</w:t>
            </w:r>
            <w:r w:rsidRPr="4CF99B53">
              <w:rPr>
                <w:rFonts w:ascii="Times" w:eastAsia="Times" w:hAnsi="Times" w:cs="Times"/>
                <w:strike/>
                <w:color w:val="4472C4" w:themeColor="accent1"/>
                <w:sz w:val="18"/>
                <w:szCs w:val="18"/>
              </w:rPr>
              <w:t xml:space="preserve"> </w:t>
            </w:r>
          </w:p>
          <w:p w14:paraId="4EA066BD" w14:textId="77777777" w:rsidR="00F31747" w:rsidRDefault="00F31747" w:rsidP="00F31747">
            <w:pPr>
              <w:pStyle w:val="ListParagraph"/>
              <w:numPr>
                <w:ilvl w:val="0"/>
                <w:numId w:val="7"/>
              </w:numPr>
              <w:rPr>
                <w:rFonts w:ascii="Times" w:eastAsia="Times" w:hAnsi="Times" w:cs="Times"/>
                <w:sz w:val="18"/>
                <w:szCs w:val="18"/>
              </w:rPr>
            </w:pPr>
            <w:r w:rsidRPr="4CF99B53">
              <w:rPr>
                <w:rFonts w:ascii="Times" w:eastAsia="Times" w:hAnsi="Times" w:cs="Times"/>
                <w:sz w:val="18"/>
                <w:szCs w:val="18"/>
              </w:rPr>
              <w:t xml:space="preserve">Consider, if </w:t>
            </w:r>
            <w:proofErr w:type="spellStart"/>
            <w:r w:rsidRPr="4CF99B53">
              <w:rPr>
                <w:rFonts w:ascii="Times" w:eastAsia="Times" w:hAnsi="Times" w:cs="Times"/>
                <w:sz w:val="18"/>
                <w:szCs w:val="18"/>
              </w:rPr>
              <w:t>STxMP</w:t>
            </w:r>
            <w:proofErr w:type="spellEnd"/>
            <w:r w:rsidRPr="4CF99B53">
              <w:rPr>
                <w:rFonts w:ascii="Times" w:eastAsia="Times" w:hAnsi="Times" w:cs="Times"/>
                <w:sz w:val="18"/>
                <w:szCs w:val="18"/>
              </w:rPr>
              <w:t xml:space="preserve"> is supported, Rel-18 MTRP scheme(s) with </w:t>
            </w:r>
            <w:proofErr w:type="spellStart"/>
            <w:r w:rsidRPr="4CF99B53">
              <w:rPr>
                <w:rFonts w:ascii="Times" w:eastAsia="Times" w:hAnsi="Times" w:cs="Times"/>
                <w:sz w:val="18"/>
                <w:szCs w:val="18"/>
              </w:rPr>
              <w:t>STxMP</w:t>
            </w:r>
            <w:proofErr w:type="spellEnd"/>
            <w:r w:rsidRPr="4CF99B53">
              <w:rPr>
                <w:rFonts w:ascii="Times" w:eastAsia="Times" w:hAnsi="Times" w:cs="Times"/>
                <w:sz w:val="18"/>
                <w:szCs w:val="18"/>
              </w:rPr>
              <w:t xml:space="preserve"> </w:t>
            </w:r>
          </w:p>
          <w:p w14:paraId="7A9250F9" w14:textId="77777777" w:rsidR="00F31747" w:rsidRDefault="00F31747" w:rsidP="00542D50">
            <w:pPr>
              <w:rPr>
                <w:rFonts w:ascii="Times" w:eastAsia="Times" w:hAnsi="Times" w:cs="Times"/>
                <w:color w:val="000000" w:themeColor="text1"/>
                <w:sz w:val="18"/>
                <w:szCs w:val="18"/>
              </w:rPr>
            </w:pPr>
            <w:r w:rsidRPr="4CF99B53">
              <w:rPr>
                <w:rFonts w:ascii="Times" w:eastAsia="Times" w:hAnsi="Times" w:cs="Times"/>
                <w:color w:val="1F497D"/>
                <w:sz w:val="16"/>
                <w:szCs w:val="16"/>
              </w:rPr>
              <w:t xml:space="preserve"> </w:t>
            </w:r>
            <w:r w:rsidRPr="00D459F0">
              <w:rPr>
                <w:rFonts w:ascii="Times" w:eastAsia="Times" w:hAnsi="Times" w:cs="Times"/>
                <w:color w:val="000000" w:themeColor="text1"/>
                <w:sz w:val="18"/>
                <w:szCs w:val="18"/>
                <w:highlight w:val="green"/>
                <w:lang w:val="en-GB"/>
              </w:rPr>
              <w:t>Agreement</w:t>
            </w:r>
            <w:r>
              <w:br/>
            </w:r>
            <w:r>
              <w:br/>
            </w:r>
            <w:r w:rsidRPr="4CF99B53">
              <w:rPr>
                <w:rFonts w:ascii="Times" w:eastAsia="Times" w:hAnsi="Times" w:cs="Times"/>
                <w:color w:val="000000" w:themeColor="text1"/>
                <w:sz w:val="18"/>
                <w:szCs w:val="18"/>
                <w:lang w:val="en-GB"/>
              </w:rPr>
              <w:t>On unified TCI framework extension, if an indicated joint or UL TCI state applies to a PUSCH/PUCCH transmission occasion at least for S-DCI based PUSCH/PUCCH repetition with TDM and the indicated joint or UL TCI state is associated with an UL PC parameter setting for PUSCH/PUCCH (including P0, alpha for PUSCH, and closed lo</w:t>
            </w:r>
            <w:r w:rsidRPr="4CF99B53">
              <w:rPr>
                <w:rFonts w:ascii="Times" w:eastAsia="Times" w:hAnsi="Times" w:cs="Times"/>
                <w:color w:val="000000" w:themeColor="text1"/>
                <w:sz w:val="18"/>
                <w:szCs w:val="18"/>
              </w:rPr>
              <w:t>op index) and a PL-RS, the UE should apply the UL PC parameter setting and the PL-RS for the PUSCH /PUCCH transmission occasion.</w:t>
            </w:r>
          </w:p>
          <w:p w14:paraId="5A396B5F" w14:textId="77777777" w:rsidR="00F31747" w:rsidRDefault="00F31747" w:rsidP="00F31747">
            <w:pPr>
              <w:pStyle w:val="ListParagraph"/>
              <w:numPr>
                <w:ilvl w:val="0"/>
                <w:numId w:val="3"/>
              </w:numPr>
              <w:rPr>
                <w:rFonts w:ascii="Times" w:eastAsia="Times" w:hAnsi="Times" w:cs="Times"/>
                <w:color w:val="000000" w:themeColor="text1"/>
                <w:sz w:val="18"/>
                <w:szCs w:val="18"/>
              </w:rPr>
            </w:pPr>
            <w:r w:rsidRPr="4CF99B53">
              <w:rPr>
                <w:rFonts w:ascii="Times" w:eastAsia="Times" w:hAnsi="Times" w:cs="Times"/>
                <w:color w:val="000000" w:themeColor="text1"/>
                <w:sz w:val="18"/>
                <w:szCs w:val="18"/>
              </w:rPr>
              <w:t xml:space="preserve">FFS: How to extend to other Rel-18 MTRP scheme(s) with </w:t>
            </w:r>
            <w:proofErr w:type="spellStart"/>
            <w:r w:rsidRPr="4CF99B53">
              <w:rPr>
                <w:rFonts w:ascii="Times" w:eastAsia="Times" w:hAnsi="Times" w:cs="Times"/>
                <w:color w:val="000000" w:themeColor="text1"/>
                <w:sz w:val="18"/>
                <w:szCs w:val="18"/>
              </w:rPr>
              <w:t>STxMP</w:t>
            </w:r>
            <w:proofErr w:type="spellEnd"/>
            <w:r w:rsidRPr="4CF99B53">
              <w:rPr>
                <w:rFonts w:ascii="Times" w:eastAsia="Times" w:hAnsi="Times" w:cs="Times"/>
                <w:color w:val="000000" w:themeColor="text1"/>
                <w:sz w:val="18"/>
                <w:szCs w:val="18"/>
              </w:rPr>
              <w:t xml:space="preserve">, if supported </w:t>
            </w:r>
          </w:p>
          <w:p w14:paraId="67D912B8" w14:textId="77777777" w:rsidR="00F31747" w:rsidRDefault="00F31747" w:rsidP="00F31747">
            <w:pPr>
              <w:pStyle w:val="ListParagraph"/>
              <w:numPr>
                <w:ilvl w:val="0"/>
                <w:numId w:val="3"/>
              </w:numPr>
              <w:rPr>
                <w:rFonts w:ascii="Times" w:eastAsia="Times" w:hAnsi="Times" w:cs="Times"/>
                <w:color w:val="000000" w:themeColor="text1"/>
                <w:sz w:val="18"/>
                <w:szCs w:val="18"/>
              </w:rPr>
            </w:pPr>
            <w:r w:rsidRPr="4CF99B53">
              <w:rPr>
                <w:rFonts w:ascii="Times" w:eastAsia="Times" w:hAnsi="Times" w:cs="Times"/>
                <w:color w:val="000000" w:themeColor="text1"/>
                <w:sz w:val="18"/>
                <w:szCs w:val="18"/>
              </w:rPr>
              <w:t>FFS: UL PC enhancement for CB and non-CB SRS in above case</w:t>
            </w:r>
          </w:p>
          <w:p w14:paraId="0DB01CAD" w14:textId="77777777" w:rsidR="00F31747" w:rsidRDefault="00F31747" w:rsidP="00542D50">
            <w:r w:rsidRPr="4CF99B53">
              <w:rPr>
                <w:rFonts w:ascii="Times" w:eastAsia="Times" w:hAnsi="Times" w:cs="Times"/>
                <w:color w:val="000000" w:themeColor="text1"/>
                <w:sz w:val="18"/>
                <w:szCs w:val="18"/>
              </w:rPr>
              <w:t>FFS: The applied UL PC parameter setting if one or both indicated joint or UL TCI state(s) is not associated with an UL PC parameter setting (including P0, alpha for PUSCH, and closed loop index) for PUCCH/PUSCH</w:t>
            </w:r>
          </w:p>
          <w:p w14:paraId="3848C7AE" w14:textId="77777777" w:rsidR="00F31747" w:rsidRDefault="00F31747" w:rsidP="00542D50">
            <w:r w:rsidRPr="4CF99B53">
              <w:rPr>
                <w:rFonts w:eastAsia="Times New Roman" w:cs="Times New Roman"/>
                <w:color w:val="000000" w:themeColor="text1"/>
                <w:sz w:val="18"/>
                <w:szCs w:val="18"/>
              </w:rPr>
              <w:t xml:space="preserve"> </w:t>
            </w:r>
          </w:p>
          <w:p w14:paraId="5B2125D7" w14:textId="77777777" w:rsidR="00F31747" w:rsidRDefault="00F31747" w:rsidP="00542D50">
            <w:r w:rsidRPr="4CF99B53">
              <w:rPr>
                <w:rFonts w:ascii="Times" w:eastAsia="Times" w:hAnsi="Times" w:cs="Times"/>
                <w:b/>
                <w:bCs/>
                <w:sz w:val="18"/>
                <w:szCs w:val="18"/>
                <w:highlight w:val="green"/>
              </w:rPr>
              <w:t>Agreement</w:t>
            </w:r>
          </w:p>
          <w:p w14:paraId="21B59BD3" w14:textId="77777777" w:rsidR="00F31747" w:rsidRDefault="00F31747" w:rsidP="00542D50">
            <w:pPr>
              <w:jc w:val="both"/>
            </w:pPr>
            <w:r w:rsidRPr="4CF99B53">
              <w:rPr>
                <w:rFonts w:eastAsia="Times New Roman" w:cs="Times New Roman"/>
                <w:color w:val="000000" w:themeColor="text1"/>
                <w:sz w:val="18"/>
                <w:szCs w:val="18"/>
                <w:lang w:val="en-GB"/>
              </w:rPr>
              <w:t xml:space="preserve">On UE power limitation for </w:t>
            </w:r>
            <w:proofErr w:type="spellStart"/>
            <w:r w:rsidRPr="4CF99B53">
              <w:rPr>
                <w:rFonts w:eastAsia="Times New Roman" w:cs="Times New Roman"/>
                <w:color w:val="000000" w:themeColor="text1"/>
                <w:sz w:val="18"/>
                <w:szCs w:val="18"/>
                <w:lang w:val="en-GB"/>
              </w:rPr>
              <w:t>STxMP</w:t>
            </w:r>
            <w:proofErr w:type="spellEnd"/>
            <w:r w:rsidRPr="4CF99B53">
              <w:rPr>
                <w:rFonts w:eastAsia="Times New Roman" w:cs="Times New Roman"/>
                <w:color w:val="000000" w:themeColor="text1"/>
                <w:sz w:val="18"/>
                <w:szCs w:val="18"/>
                <w:lang w:val="en-GB"/>
              </w:rPr>
              <w:t xml:space="preserve"> for FR2, send LS to RAN4 to check the followings:</w:t>
            </w:r>
          </w:p>
          <w:p w14:paraId="4F27A4A6" w14:textId="77777777" w:rsidR="00F31747" w:rsidRDefault="00F31747" w:rsidP="00F31747">
            <w:pPr>
              <w:pStyle w:val="ListParagraph"/>
              <w:numPr>
                <w:ilvl w:val="0"/>
                <w:numId w:val="2"/>
              </w:numPr>
              <w:rPr>
                <w:rFonts w:eastAsia="Times New Roman" w:cs="Times New Roman"/>
                <w:color w:val="000000" w:themeColor="text1"/>
                <w:sz w:val="18"/>
                <w:szCs w:val="18"/>
                <w:lang w:val="en-GB"/>
              </w:rPr>
            </w:pPr>
            <w:r w:rsidRPr="4CF99B53">
              <w:rPr>
                <w:rFonts w:eastAsia="Times New Roman" w:cs="Times New Roman"/>
                <w:color w:val="000000" w:themeColor="text1"/>
                <w:sz w:val="18"/>
                <w:szCs w:val="18"/>
                <w:lang w:val="en-GB"/>
              </w:rPr>
              <w:t xml:space="preserve">Whether it is feasible to assume power limitation per panel for </w:t>
            </w:r>
            <w:proofErr w:type="spellStart"/>
            <w:r w:rsidRPr="4CF99B53">
              <w:rPr>
                <w:rFonts w:eastAsia="Times New Roman" w:cs="Times New Roman"/>
                <w:color w:val="000000" w:themeColor="text1"/>
                <w:sz w:val="18"/>
                <w:szCs w:val="18"/>
                <w:lang w:val="en-GB"/>
              </w:rPr>
              <w:t>STxMP</w:t>
            </w:r>
            <w:proofErr w:type="spellEnd"/>
            <w:r w:rsidRPr="4CF99B53">
              <w:rPr>
                <w:rFonts w:eastAsia="Times New Roman" w:cs="Times New Roman"/>
                <w:color w:val="000000" w:themeColor="text1"/>
                <w:sz w:val="18"/>
                <w:szCs w:val="18"/>
                <w:lang w:val="en-GB"/>
              </w:rPr>
              <w:t xml:space="preserve"> (Assumption 1)</w:t>
            </w:r>
          </w:p>
          <w:p w14:paraId="3EE45A95" w14:textId="77777777" w:rsidR="00F31747" w:rsidRDefault="00F31747" w:rsidP="00F31747">
            <w:pPr>
              <w:pStyle w:val="ListParagraph"/>
              <w:numPr>
                <w:ilvl w:val="0"/>
                <w:numId w:val="2"/>
              </w:numPr>
              <w:rPr>
                <w:rFonts w:eastAsia="Times New Roman" w:cs="Times New Roman"/>
                <w:color w:val="000000" w:themeColor="text1"/>
                <w:sz w:val="18"/>
                <w:szCs w:val="18"/>
                <w:lang w:val="en-GB"/>
              </w:rPr>
            </w:pPr>
            <w:r w:rsidRPr="4CF99B53">
              <w:rPr>
                <w:rFonts w:eastAsia="Times New Roman" w:cs="Times New Roman"/>
                <w:color w:val="000000" w:themeColor="text1"/>
                <w:sz w:val="18"/>
                <w:szCs w:val="18"/>
                <w:lang w:val="en-GB"/>
              </w:rPr>
              <w:t>Whether it is feasible to assume a total power limitation</w:t>
            </w:r>
            <w:r w:rsidRPr="4CF99B53">
              <w:rPr>
                <w:rFonts w:ascii="PMingLiU" w:eastAsia="PMingLiU" w:hAnsi="PMingLiU" w:cs="PMingLiU"/>
                <w:color w:val="000000" w:themeColor="text1"/>
                <w:sz w:val="18"/>
                <w:szCs w:val="18"/>
                <w:lang w:val="en-GB"/>
              </w:rPr>
              <w:t xml:space="preserve"> </w:t>
            </w:r>
            <w:r w:rsidRPr="4CF99B53">
              <w:rPr>
                <w:rFonts w:eastAsia="Times New Roman" w:cs="Times New Roman"/>
                <w:color w:val="000000" w:themeColor="text1"/>
                <w:sz w:val="18"/>
                <w:szCs w:val="18"/>
                <w:lang w:val="en-GB"/>
              </w:rPr>
              <w:t>per UE over</w:t>
            </w:r>
            <w:r w:rsidRPr="4CF99B53">
              <w:rPr>
                <w:rFonts w:ascii="PMingLiU" w:eastAsia="PMingLiU" w:hAnsi="PMingLiU" w:cs="PMingLiU"/>
                <w:color w:val="000000" w:themeColor="text1"/>
                <w:sz w:val="18"/>
                <w:szCs w:val="18"/>
                <w:lang w:val="en-GB"/>
              </w:rPr>
              <w:t xml:space="preserve"> </w:t>
            </w:r>
            <w:r w:rsidRPr="4CF99B53">
              <w:rPr>
                <w:rFonts w:eastAsia="Times New Roman" w:cs="Times New Roman"/>
                <w:color w:val="000000" w:themeColor="text1"/>
                <w:sz w:val="18"/>
                <w:szCs w:val="18"/>
                <w:lang w:val="en-GB"/>
              </w:rPr>
              <w:t>all</w:t>
            </w:r>
            <w:r w:rsidRPr="4CF99B53">
              <w:rPr>
                <w:rFonts w:ascii="PMingLiU" w:eastAsia="PMingLiU" w:hAnsi="PMingLiU" w:cs="PMingLiU"/>
                <w:color w:val="000000" w:themeColor="text1"/>
                <w:sz w:val="18"/>
                <w:szCs w:val="18"/>
                <w:lang w:val="en-GB"/>
              </w:rPr>
              <w:t xml:space="preserve"> </w:t>
            </w:r>
            <w:r w:rsidRPr="4CF99B53">
              <w:rPr>
                <w:rFonts w:eastAsia="Times New Roman" w:cs="Times New Roman"/>
                <w:color w:val="000000" w:themeColor="text1"/>
                <w:sz w:val="18"/>
                <w:szCs w:val="18"/>
                <w:lang w:val="en-GB"/>
              </w:rPr>
              <w:t xml:space="preserve">UE panels used for </w:t>
            </w:r>
            <w:proofErr w:type="spellStart"/>
            <w:r w:rsidRPr="4CF99B53">
              <w:rPr>
                <w:rFonts w:eastAsia="Times New Roman" w:cs="Times New Roman"/>
                <w:color w:val="000000" w:themeColor="text1"/>
                <w:sz w:val="18"/>
                <w:szCs w:val="18"/>
                <w:lang w:val="en-GB"/>
              </w:rPr>
              <w:t>STxMP</w:t>
            </w:r>
            <w:proofErr w:type="spellEnd"/>
            <w:r w:rsidRPr="4CF99B53">
              <w:rPr>
                <w:rFonts w:eastAsia="Times New Roman" w:cs="Times New Roman"/>
                <w:color w:val="000000" w:themeColor="text1"/>
                <w:sz w:val="18"/>
                <w:szCs w:val="18"/>
                <w:lang w:val="en-GB"/>
              </w:rPr>
              <w:t xml:space="preserve"> (Assumption 2)</w:t>
            </w:r>
          </w:p>
          <w:p w14:paraId="5973DDA5" w14:textId="77777777" w:rsidR="00F31747" w:rsidRPr="00DB291A" w:rsidRDefault="00F31747" w:rsidP="00F31747">
            <w:pPr>
              <w:pStyle w:val="ListParagraph"/>
              <w:numPr>
                <w:ilvl w:val="0"/>
                <w:numId w:val="2"/>
              </w:numPr>
              <w:rPr>
                <w:rFonts w:eastAsia="Times New Roman" w:cs="Times New Roman"/>
                <w:color w:val="000000" w:themeColor="text1"/>
                <w:sz w:val="18"/>
                <w:szCs w:val="18"/>
                <w:lang w:val="en-GB"/>
              </w:rPr>
            </w:pPr>
            <w:r w:rsidRPr="00DB291A">
              <w:rPr>
                <w:rFonts w:eastAsia="Times New Roman" w:cs="Times New Roman"/>
                <w:color w:val="000000" w:themeColor="text1"/>
                <w:sz w:val="18"/>
                <w:szCs w:val="18"/>
                <w:lang w:val="en-GB"/>
              </w:rPr>
              <w:t>In either of Assumption1 or Assumption 2,</w:t>
            </w:r>
            <w:r w:rsidRPr="00DB291A">
              <w:rPr>
                <w:rFonts w:ascii="PMingLiU" w:eastAsia="PMingLiU" w:hAnsi="PMingLiU" w:cs="PMingLiU"/>
                <w:color w:val="000000" w:themeColor="text1"/>
                <w:sz w:val="18"/>
                <w:szCs w:val="18"/>
                <w:lang w:val="en-GB"/>
              </w:rPr>
              <w:t xml:space="preserve"> </w:t>
            </w:r>
            <w:r w:rsidRPr="00DB291A">
              <w:rPr>
                <w:rFonts w:eastAsia="Times New Roman" w:cs="Times New Roman"/>
                <w:color w:val="000000" w:themeColor="text1"/>
                <w:sz w:val="18"/>
                <w:szCs w:val="18"/>
                <w:lang w:val="en-GB"/>
              </w:rPr>
              <w:t>whether the total power limitation per UE over</w:t>
            </w:r>
            <w:r w:rsidRPr="00DB291A">
              <w:rPr>
                <w:rFonts w:ascii="PMingLiU" w:eastAsia="PMingLiU" w:hAnsi="PMingLiU" w:cs="PMingLiU"/>
                <w:color w:val="000000" w:themeColor="text1"/>
                <w:sz w:val="18"/>
                <w:szCs w:val="18"/>
                <w:lang w:val="en-GB"/>
              </w:rPr>
              <w:t xml:space="preserve"> </w:t>
            </w:r>
            <w:r w:rsidRPr="00DB291A">
              <w:rPr>
                <w:rFonts w:eastAsia="Times New Roman" w:cs="Times New Roman"/>
                <w:color w:val="000000" w:themeColor="text1"/>
                <w:sz w:val="18"/>
                <w:szCs w:val="18"/>
                <w:lang w:val="en-GB"/>
              </w:rPr>
              <w:t>all</w:t>
            </w:r>
            <w:r w:rsidRPr="00DB291A">
              <w:rPr>
                <w:rFonts w:ascii="PMingLiU" w:eastAsia="PMingLiU" w:hAnsi="PMingLiU" w:cs="PMingLiU"/>
                <w:color w:val="000000" w:themeColor="text1"/>
                <w:sz w:val="18"/>
                <w:szCs w:val="18"/>
                <w:lang w:val="en-GB"/>
              </w:rPr>
              <w:t xml:space="preserve"> </w:t>
            </w:r>
            <w:r w:rsidRPr="00DB291A">
              <w:rPr>
                <w:rFonts w:eastAsia="Times New Roman" w:cs="Times New Roman"/>
                <w:color w:val="000000" w:themeColor="text1"/>
                <w:sz w:val="18"/>
                <w:szCs w:val="18"/>
                <w:lang w:val="en-GB"/>
              </w:rPr>
              <w:t xml:space="preserve">UE panels used for </w:t>
            </w:r>
            <w:proofErr w:type="spellStart"/>
            <w:r w:rsidRPr="00DB291A">
              <w:rPr>
                <w:rFonts w:eastAsia="Times New Roman" w:cs="Times New Roman"/>
                <w:color w:val="000000" w:themeColor="text1"/>
                <w:sz w:val="18"/>
                <w:szCs w:val="18"/>
                <w:lang w:val="en-GB"/>
              </w:rPr>
              <w:t>STxMP</w:t>
            </w:r>
            <w:proofErr w:type="spellEnd"/>
            <w:r w:rsidRPr="00DB291A">
              <w:rPr>
                <w:rFonts w:ascii="PMingLiU" w:eastAsia="PMingLiU" w:hAnsi="PMingLiU" w:cs="PMingLiU"/>
                <w:color w:val="000000" w:themeColor="text1"/>
                <w:sz w:val="18"/>
                <w:szCs w:val="18"/>
                <w:lang w:val="en-GB"/>
              </w:rPr>
              <w:t xml:space="preserve"> </w:t>
            </w:r>
            <w:r w:rsidRPr="00DB291A">
              <w:rPr>
                <w:rFonts w:eastAsia="Times New Roman" w:cs="Times New Roman"/>
                <w:color w:val="000000" w:themeColor="text1"/>
                <w:sz w:val="18"/>
                <w:szCs w:val="18"/>
                <w:lang w:val="en-GB"/>
              </w:rPr>
              <w:t xml:space="preserve">or the sum of per-panel power limitation for </w:t>
            </w:r>
            <w:proofErr w:type="spellStart"/>
            <w:r w:rsidRPr="00DB291A">
              <w:rPr>
                <w:rFonts w:eastAsia="Times New Roman" w:cs="Times New Roman"/>
                <w:color w:val="000000" w:themeColor="text1"/>
                <w:sz w:val="18"/>
                <w:szCs w:val="18"/>
                <w:lang w:val="en-GB"/>
              </w:rPr>
              <w:t>STxMP</w:t>
            </w:r>
            <w:proofErr w:type="spellEnd"/>
            <w:r w:rsidRPr="00DB291A">
              <w:rPr>
                <w:rFonts w:eastAsia="Times New Roman" w:cs="Times New Roman"/>
                <w:color w:val="000000" w:themeColor="text1"/>
                <w:sz w:val="18"/>
                <w:szCs w:val="18"/>
                <w:lang w:val="en-GB"/>
              </w:rPr>
              <w:t xml:space="preserve"> can be different from (greater than) the existing power limitation for a given power class?</w:t>
            </w:r>
          </w:p>
          <w:p w14:paraId="4D0AE2C6" w14:textId="77777777" w:rsidR="00F31747" w:rsidRDefault="00F31747" w:rsidP="00F31747">
            <w:pPr>
              <w:pStyle w:val="ListParagraph"/>
              <w:numPr>
                <w:ilvl w:val="0"/>
                <w:numId w:val="2"/>
              </w:numPr>
              <w:rPr>
                <w:rFonts w:eastAsia="Times New Roman" w:cs="Times New Roman"/>
                <w:color w:val="000000" w:themeColor="text1"/>
                <w:sz w:val="18"/>
                <w:szCs w:val="18"/>
                <w:lang w:val="en-GB"/>
              </w:rPr>
            </w:pPr>
            <w:r w:rsidRPr="4CF99B53">
              <w:rPr>
                <w:rFonts w:eastAsia="Times New Roman" w:cs="Times New Roman"/>
                <w:color w:val="000000" w:themeColor="text1"/>
                <w:sz w:val="18"/>
                <w:szCs w:val="18"/>
                <w:lang w:val="en-GB"/>
              </w:rPr>
              <w:t>If both Assumption 1 and Assumption 2 are feasible, whether both assumptions can be applied to a same UE, and what is the relationship between the per-panel power limitation and total power limitation if both are applied</w:t>
            </w:r>
            <w:r w:rsidRPr="4CF99B53">
              <w:rPr>
                <w:rFonts w:ascii="PMingLiU" w:eastAsia="PMingLiU" w:hAnsi="PMingLiU" w:cs="PMingLiU"/>
                <w:color w:val="000000" w:themeColor="text1"/>
                <w:sz w:val="18"/>
                <w:szCs w:val="18"/>
                <w:lang w:val="en-GB"/>
              </w:rPr>
              <w:t xml:space="preserve"> </w:t>
            </w:r>
            <w:r w:rsidRPr="4CF99B53">
              <w:rPr>
                <w:rFonts w:eastAsia="Times New Roman" w:cs="Times New Roman"/>
                <w:color w:val="000000" w:themeColor="text1"/>
                <w:sz w:val="18"/>
                <w:szCs w:val="18"/>
                <w:lang w:val="en-GB"/>
              </w:rPr>
              <w:t>(e.g., the sum of per-panel power limitation can be larger than the total power limitation per UE, or should be always the same)?</w:t>
            </w:r>
          </w:p>
          <w:p w14:paraId="35AAABFC" w14:textId="77777777" w:rsidR="00F31747" w:rsidRDefault="00F31747" w:rsidP="00542D50">
            <w:r w:rsidRPr="4CF99B53">
              <w:rPr>
                <w:rFonts w:eastAsia="Times New Roman" w:cs="Times New Roman"/>
                <w:color w:val="000000" w:themeColor="text1"/>
                <w:sz w:val="18"/>
                <w:szCs w:val="18"/>
                <w:lang w:val="en-GB"/>
              </w:rPr>
              <w:t>FFS: Detail of exact LS if agreed</w:t>
            </w:r>
          </w:p>
          <w:p w14:paraId="6F94A528" w14:textId="77777777" w:rsidR="00F31747" w:rsidRDefault="00F31747" w:rsidP="00542D50">
            <w:r w:rsidRPr="4CF99B53">
              <w:rPr>
                <w:rFonts w:eastAsia="Times New Roman" w:cs="Times New Roman"/>
                <w:color w:val="000000" w:themeColor="text1"/>
                <w:sz w:val="18"/>
                <w:szCs w:val="18"/>
                <w:lang w:val="en-GB"/>
              </w:rPr>
              <w:t>Note: Scenarios of above include at least single carrier scenario for FR2</w:t>
            </w:r>
          </w:p>
          <w:p w14:paraId="3490DBBB" w14:textId="77777777" w:rsidR="00F31747" w:rsidRDefault="00F31747" w:rsidP="00542D50">
            <w:r w:rsidRPr="4CF99B53">
              <w:rPr>
                <w:rFonts w:eastAsia="Times New Roman" w:cs="Times New Roman"/>
                <w:color w:val="000000" w:themeColor="text1"/>
                <w:sz w:val="18"/>
                <w:szCs w:val="18"/>
                <w:lang w:val="en-GB"/>
              </w:rPr>
              <w:t>Note: Above power limitation includes both total radiated power and EIRP</w:t>
            </w:r>
          </w:p>
          <w:p w14:paraId="344A5380" w14:textId="77777777" w:rsidR="00F31747" w:rsidRDefault="00F31747" w:rsidP="00542D50">
            <w:r w:rsidRPr="4CF99B53">
              <w:rPr>
                <w:rFonts w:eastAsia="Times New Roman" w:cs="Times New Roman"/>
                <w:color w:val="000000" w:themeColor="text1"/>
                <w:sz w:val="18"/>
                <w:szCs w:val="18"/>
                <w:lang w:val="en-GB"/>
              </w:rPr>
              <w:t xml:space="preserve">LS to RAN4 is </w:t>
            </w:r>
            <w:r w:rsidRPr="4CF99B53">
              <w:rPr>
                <w:rFonts w:eastAsia="Times New Roman" w:cs="Times New Roman"/>
                <w:color w:val="000000" w:themeColor="text1"/>
                <w:sz w:val="18"/>
                <w:szCs w:val="18"/>
                <w:highlight w:val="green"/>
                <w:lang w:val="en-GB"/>
              </w:rPr>
              <w:t>endorsed</w:t>
            </w:r>
            <w:r w:rsidRPr="4CF99B53">
              <w:rPr>
                <w:rFonts w:eastAsia="Times New Roman" w:cs="Times New Roman"/>
                <w:color w:val="000000" w:themeColor="text1"/>
                <w:sz w:val="18"/>
                <w:szCs w:val="18"/>
                <w:lang w:val="en-GB"/>
              </w:rPr>
              <w:t xml:space="preserve"> in R1-2205639.</w:t>
            </w:r>
          </w:p>
        </w:tc>
      </w:tr>
      <w:tr w:rsidR="00EA7906" w14:paraId="08BB09C5" w14:textId="77777777" w:rsidTr="00542D50">
        <w:trPr>
          <w:trHeight w:val="1545"/>
        </w:trPr>
        <w:tc>
          <w:tcPr>
            <w:tcW w:w="9615" w:type="dxa"/>
          </w:tcPr>
          <w:p w14:paraId="520B3D1F" w14:textId="77777777" w:rsidR="00EA7906" w:rsidRPr="00912542" w:rsidRDefault="00EA7906" w:rsidP="00EA7906">
            <w:pPr>
              <w:rPr>
                <w:rFonts w:cs="Times New Roman"/>
                <w:szCs w:val="20"/>
                <w:lang w:val="en-GB" w:eastAsia="x-none"/>
              </w:rPr>
            </w:pPr>
            <w:r w:rsidRPr="00912542">
              <w:rPr>
                <w:rFonts w:cs="Times New Roman"/>
                <w:b/>
                <w:szCs w:val="20"/>
                <w:lang w:val="en-GB" w:eastAsia="x-none"/>
              </w:rPr>
              <w:t>RAN1-110 Working assumption</w:t>
            </w:r>
          </w:p>
          <w:p w14:paraId="1434B1EB" w14:textId="77777777" w:rsidR="00EA7906" w:rsidRDefault="00EA7906" w:rsidP="00EA7906">
            <w:pPr>
              <w:rPr>
                <w:rFonts w:cs="Times New Roman"/>
                <w:szCs w:val="20"/>
                <w:lang w:val="en-GB"/>
              </w:rPr>
            </w:pPr>
            <w:r>
              <w:rPr>
                <w:rFonts w:cs="Times New Roman"/>
                <w:szCs w:val="20"/>
                <w:lang w:val="en-GB"/>
              </w:rPr>
              <w:t>Support the following scheme</w:t>
            </w:r>
            <w:r>
              <w:rPr>
                <w:rFonts w:cs="Times New Roman"/>
                <w:strike/>
                <w:color w:val="FF0000"/>
                <w:szCs w:val="20"/>
                <w:lang w:val="en-GB"/>
              </w:rPr>
              <w:t>s</w:t>
            </w:r>
            <w:r>
              <w:rPr>
                <w:rFonts w:cs="Times New Roman"/>
                <w:szCs w:val="20"/>
                <w:lang w:val="en-GB"/>
              </w:rPr>
              <w:t xml:space="preserve"> for </w:t>
            </w:r>
            <w:proofErr w:type="spellStart"/>
            <w:r>
              <w:rPr>
                <w:rFonts w:cs="Times New Roman"/>
                <w:szCs w:val="20"/>
                <w:lang w:val="en-GB"/>
              </w:rPr>
              <w:t>STxMP</w:t>
            </w:r>
            <w:proofErr w:type="spellEnd"/>
            <w:r>
              <w:rPr>
                <w:rFonts w:cs="Times New Roman"/>
                <w:szCs w:val="20"/>
                <w:lang w:val="en-GB"/>
              </w:rPr>
              <w:t xml:space="preserve"> PUSCH transmission in single-DCI based </w:t>
            </w:r>
            <w:proofErr w:type="spellStart"/>
            <w:r>
              <w:rPr>
                <w:rFonts w:cs="Times New Roman"/>
                <w:szCs w:val="20"/>
                <w:lang w:val="en-GB"/>
              </w:rPr>
              <w:t>mTRP</w:t>
            </w:r>
            <w:proofErr w:type="spellEnd"/>
            <w:r>
              <w:rPr>
                <w:rFonts w:cs="Times New Roman"/>
                <w:szCs w:val="20"/>
                <w:lang w:val="en-GB"/>
              </w:rPr>
              <w:t xml:space="preserve"> system in Rel-18:</w:t>
            </w:r>
          </w:p>
          <w:p w14:paraId="71B6B141" w14:textId="781D8B44" w:rsidR="00EA7906" w:rsidRPr="00EA7906" w:rsidRDefault="00EA7906" w:rsidP="003870CF">
            <w:pPr>
              <w:pStyle w:val="ListParagraph"/>
              <w:numPr>
                <w:ilvl w:val="0"/>
                <w:numId w:val="25"/>
              </w:numPr>
              <w:rPr>
                <w:rFonts w:cs="Times New Roman"/>
                <w:szCs w:val="20"/>
              </w:rPr>
            </w:pPr>
            <w:r>
              <w:rPr>
                <w:rFonts w:cs="Times New Roman"/>
                <w:szCs w:val="20"/>
              </w:rPr>
              <w:t>SDM scheme</w:t>
            </w:r>
          </w:p>
        </w:tc>
      </w:tr>
      <w:tr w:rsidR="00F31747" w14:paraId="66DC0BA9" w14:textId="77777777" w:rsidTr="00542D50">
        <w:trPr>
          <w:trHeight w:val="300"/>
        </w:trPr>
        <w:tc>
          <w:tcPr>
            <w:tcW w:w="961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FA92423" w14:textId="77777777" w:rsidR="00F31747" w:rsidRDefault="00F31747" w:rsidP="00542D50">
            <w:pPr>
              <w:jc w:val="center"/>
              <w:rPr>
                <w:rFonts w:ascii="Arial" w:eastAsia="Arial" w:hAnsi="Arial" w:cs="Arial"/>
                <w:b/>
                <w:bCs/>
                <w:sz w:val="18"/>
                <w:szCs w:val="18"/>
              </w:rPr>
            </w:pPr>
            <w:r>
              <w:rPr>
                <w:rFonts w:ascii="Arial" w:eastAsia="Arial" w:hAnsi="Arial" w:cs="Arial"/>
                <w:b/>
                <w:bCs/>
                <w:sz w:val="18"/>
                <w:szCs w:val="18"/>
              </w:rPr>
              <w:t>RAN1#111</w:t>
            </w:r>
          </w:p>
        </w:tc>
      </w:tr>
      <w:tr w:rsidR="00F31747" w14:paraId="3A73D23F" w14:textId="77777777" w:rsidTr="00542D50">
        <w:trPr>
          <w:trHeight w:val="300"/>
        </w:trPr>
        <w:tc>
          <w:tcPr>
            <w:tcW w:w="9615" w:type="dxa"/>
            <w:tcBorders>
              <w:top w:val="single" w:sz="8" w:space="0" w:color="auto"/>
              <w:left w:val="single" w:sz="8" w:space="0" w:color="auto"/>
              <w:bottom w:val="single" w:sz="8" w:space="0" w:color="auto"/>
              <w:right w:val="single" w:sz="8" w:space="0" w:color="auto"/>
            </w:tcBorders>
            <w:shd w:val="clear" w:color="auto" w:fill="FFFFFF" w:themeFill="background1"/>
          </w:tcPr>
          <w:p w14:paraId="22B82E09" w14:textId="77777777" w:rsidR="00F31747" w:rsidRDefault="00F31747" w:rsidP="00542D50">
            <w:pPr>
              <w:spacing w:line="257" w:lineRule="auto"/>
              <w:jc w:val="both"/>
            </w:pPr>
            <w:r w:rsidRPr="4CF99B53">
              <w:rPr>
                <w:rFonts w:eastAsia="Times New Roman" w:cs="Times New Roman"/>
                <w:b/>
                <w:bCs/>
                <w:color w:val="000000" w:themeColor="text1"/>
                <w:sz w:val="18"/>
                <w:szCs w:val="18"/>
                <w:highlight w:val="green"/>
              </w:rPr>
              <w:t>Agreement</w:t>
            </w:r>
          </w:p>
          <w:p w14:paraId="0ECAC85E" w14:textId="77777777" w:rsidR="00F31747" w:rsidRDefault="00F31747" w:rsidP="00542D50">
            <w:pPr>
              <w:spacing w:line="257" w:lineRule="auto"/>
              <w:jc w:val="both"/>
            </w:pPr>
            <w:r w:rsidRPr="4CF99B53">
              <w:rPr>
                <w:rFonts w:eastAsia="Times New Roman" w:cs="Times New Roman"/>
                <w:color w:val="000000" w:themeColor="text1"/>
                <w:sz w:val="18"/>
                <w:szCs w:val="18"/>
              </w:rPr>
              <w:t xml:space="preserve">On unified TCI framework extension for S-DCI based MTRP, in one beam indication instance, the existing TCI field in DCI format 1_1/1_2 (with or without DL assignment) can indicate joint/DL/UL TCI state(s) for one or </w:t>
            </w:r>
            <w:proofErr w:type="gramStart"/>
            <w:r w:rsidRPr="4CF99B53">
              <w:rPr>
                <w:rFonts w:eastAsia="Times New Roman" w:cs="Times New Roman"/>
                <w:color w:val="000000" w:themeColor="text1"/>
                <w:sz w:val="18"/>
                <w:szCs w:val="18"/>
              </w:rPr>
              <w:t>both of the two</w:t>
            </w:r>
            <w:proofErr w:type="gramEnd"/>
            <w:r w:rsidRPr="4CF99B53">
              <w:rPr>
                <w:rFonts w:eastAsia="Times New Roman" w:cs="Times New Roman"/>
                <w:color w:val="000000" w:themeColor="text1"/>
                <w:sz w:val="18"/>
                <w:szCs w:val="18"/>
              </w:rPr>
              <w:t xml:space="preserve"> TRPs in a CC/BWP or a set of CCs/BWPs in a CC list</w:t>
            </w:r>
          </w:p>
          <w:p w14:paraId="1475815D" w14:textId="77777777" w:rsidR="00F31747" w:rsidRDefault="00F31747" w:rsidP="00F31747">
            <w:pPr>
              <w:pStyle w:val="ListParagraph"/>
              <w:numPr>
                <w:ilvl w:val="0"/>
                <w:numId w:val="13"/>
              </w:numPr>
              <w:spacing w:line="252" w:lineRule="auto"/>
              <w:rPr>
                <w:rFonts w:eastAsia="Times New Roman" w:cs="Times New Roman"/>
                <w:color w:val="000000" w:themeColor="text1"/>
                <w:sz w:val="18"/>
                <w:szCs w:val="18"/>
              </w:rPr>
            </w:pPr>
            <w:r w:rsidRPr="4CF99B53">
              <w:rPr>
                <w:rFonts w:eastAsia="Times New Roman" w:cs="Times New Roman"/>
                <w:color w:val="000000" w:themeColor="text1"/>
                <w:sz w:val="18"/>
                <w:szCs w:val="18"/>
              </w:rPr>
              <w:t>FFS: Increase on the size of the TCI field</w:t>
            </w:r>
            <w:r>
              <w:br/>
            </w:r>
            <w:r>
              <w:br/>
            </w:r>
            <w:r w:rsidRPr="4CF99B53">
              <w:rPr>
                <w:rFonts w:eastAsia="Times New Roman" w:cs="Times New Roman"/>
                <w:color w:val="000000" w:themeColor="text1"/>
                <w:sz w:val="18"/>
                <w:szCs w:val="18"/>
              </w:rPr>
              <w:t>Note: The term TRP is used only for discussion purpose in RAN1 and whether/how to capture this is FFS</w:t>
            </w:r>
            <w:r>
              <w:br/>
            </w:r>
            <w:r>
              <w:br/>
            </w:r>
            <w:r w:rsidRPr="00D459F0">
              <w:rPr>
                <w:rFonts w:eastAsia="Times New Roman" w:cs="Times New Roman"/>
                <w:color w:val="000000" w:themeColor="text1"/>
                <w:sz w:val="18"/>
                <w:szCs w:val="18"/>
                <w:highlight w:val="green"/>
              </w:rPr>
              <w:t>Agreement</w:t>
            </w:r>
            <w:r>
              <w:br/>
            </w:r>
            <w:r>
              <w:br/>
            </w:r>
            <w:r w:rsidRPr="4CF99B53">
              <w:rPr>
                <w:rFonts w:eastAsia="Times New Roman" w:cs="Times New Roman"/>
                <w:color w:val="000000" w:themeColor="text1"/>
                <w:sz w:val="18"/>
                <w:szCs w:val="18"/>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14:paraId="7AF07DA3" w14:textId="77777777" w:rsidR="00F31747" w:rsidRDefault="00F31747" w:rsidP="00F31747">
            <w:pPr>
              <w:pStyle w:val="ListParagraph"/>
              <w:numPr>
                <w:ilvl w:val="0"/>
                <w:numId w:val="13"/>
              </w:numPr>
              <w:spacing w:line="252" w:lineRule="auto"/>
              <w:rPr>
                <w:rFonts w:eastAsia="Times New Roman" w:cs="Times New Roman"/>
                <w:color w:val="000000" w:themeColor="text1"/>
                <w:sz w:val="18"/>
                <w:szCs w:val="18"/>
              </w:rPr>
            </w:pPr>
            <w:r w:rsidRPr="4CF99B53">
              <w:rPr>
                <w:rFonts w:eastAsia="Times New Roman" w:cs="Times New Roman"/>
                <w:color w:val="000000" w:themeColor="text1"/>
                <w:sz w:val="18"/>
                <w:szCs w:val="18"/>
              </w:rPr>
              <w:t>The presence of the DCI field is configurable by RRC; when the DCI field is not present in DCI format 1_1/1_2, the UE shall apply the default indicated joint/DL TCI state(s) to PDSCH reception</w:t>
            </w:r>
          </w:p>
          <w:p w14:paraId="7710C089" w14:textId="77777777" w:rsidR="00F31747" w:rsidRDefault="00F31747" w:rsidP="00F31747">
            <w:pPr>
              <w:pStyle w:val="ListParagraph"/>
              <w:numPr>
                <w:ilvl w:val="1"/>
                <w:numId w:val="12"/>
              </w:numPr>
              <w:spacing w:line="252" w:lineRule="auto"/>
              <w:rPr>
                <w:rFonts w:eastAsia="Times New Roman" w:cs="Times New Roman"/>
                <w:color w:val="000000" w:themeColor="text1"/>
                <w:sz w:val="18"/>
                <w:szCs w:val="18"/>
              </w:rPr>
            </w:pPr>
            <w:r w:rsidRPr="4CF99B53">
              <w:rPr>
                <w:rFonts w:eastAsia="Times New Roman" w:cs="Times New Roman"/>
                <w:color w:val="000000" w:themeColor="text1"/>
                <w:sz w:val="18"/>
                <w:szCs w:val="18"/>
              </w:rPr>
              <w:t>FFS: Details on the default indicated joint/DL TCI state(s) to PDSCH reception</w:t>
            </w:r>
          </w:p>
          <w:p w14:paraId="58B73E61" w14:textId="77777777" w:rsidR="00F31747" w:rsidRDefault="00F31747" w:rsidP="00F31747">
            <w:pPr>
              <w:pStyle w:val="ListParagraph"/>
              <w:numPr>
                <w:ilvl w:val="0"/>
                <w:numId w:val="13"/>
              </w:numPr>
              <w:spacing w:line="252" w:lineRule="auto"/>
              <w:rPr>
                <w:rFonts w:eastAsia="Times New Roman" w:cs="Times New Roman"/>
                <w:color w:val="000000" w:themeColor="text1"/>
                <w:sz w:val="18"/>
                <w:szCs w:val="18"/>
              </w:rPr>
            </w:pPr>
            <w:r w:rsidRPr="4CF99B53">
              <w:rPr>
                <w:rFonts w:eastAsia="Times New Roman" w:cs="Times New Roman"/>
                <w:color w:val="000000" w:themeColor="text1"/>
                <w:sz w:val="18"/>
                <w:szCs w:val="18"/>
              </w:rPr>
              <w:t>FFS: The DCI field is a new indicator field or an existing field (e.g., the existing TCI field)</w:t>
            </w:r>
          </w:p>
          <w:p w14:paraId="08E0FDC3" w14:textId="77777777" w:rsidR="00F31747" w:rsidRDefault="00F31747" w:rsidP="00F31747">
            <w:pPr>
              <w:pStyle w:val="ListParagraph"/>
              <w:numPr>
                <w:ilvl w:val="0"/>
                <w:numId w:val="13"/>
              </w:numPr>
              <w:spacing w:line="252" w:lineRule="auto"/>
              <w:rPr>
                <w:rFonts w:eastAsia="Times New Roman" w:cs="Times New Roman"/>
                <w:color w:val="000000" w:themeColor="text1"/>
                <w:sz w:val="18"/>
                <w:szCs w:val="18"/>
              </w:rPr>
            </w:pPr>
            <w:r w:rsidRPr="4CF99B53">
              <w:rPr>
                <w:rFonts w:eastAsia="Times New Roman" w:cs="Times New Roman"/>
                <w:color w:val="000000" w:themeColor="text1"/>
                <w:sz w:val="18"/>
                <w:szCs w:val="18"/>
              </w:rPr>
              <w:lastRenderedPageBreak/>
              <w:t xml:space="preserve">FFS: Regardless the DCI field is present or not present, how to apply the indicated joint/DL TCI state(s) to PDSCH reception if the offset between the reception of the DCI format 1_1/1_2 and the corresponding PDSCH reception is less than a threshold </w:t>
            </w:r>
            <w:r>
              <w:br/>
            </w:r>
            <w:r>
              <w:br/>
            </w:r>
            <w:r w:rsidRPr="4CF99B53">
              <w:rPr>
                <w:rFonts w:eastAsia="Times New Roman" w:cs="Times New Roman"/>
                <w:color w:val="000000" w:themeColor="text1"/>
                <w:sz w:val="18"/>
                <w:szCs w:val="18"/>
              </w:rPr>
              <w:t>FFS: How to apply the indicated joint/DL TCI state(s) to PDSCH reception scheduled/activated by DCI format 1_0.</w:t>
            </w:r>
            <w:r>
              <w:br/>
            </w:r>
            <w:r>
              <w:br/>
            </w:r>
            <w:r w:rsidRPr="4CF99B53">
              <w:rPr>
                <w:rFonts w:eastAsia="Times New Roman" w:cs="Times New Roman"/>
                <w:color w:val="000000" w:themeColor="text1"/>
                <w:sz w:val="18"/>
                <w:szCs w:val="18"/>
              </w:rPr>
              <w:t>Above applies for the case where PDSCHs scheduled by the same DCI.</w:t>
            </w:r>
            <w:r>
              <w:br/>
            </w:r>
            <w:r>
              <w:br/>
            </w:r>
            <w:r w:rsidRPr="00D459F0">
              <w:rPr>
                <w:rFonts w:eastAsia="Times New Roman" w:cs="Times New Roman"/>
                <w:color w:val="000000" w:themeColor="text1"/>
                <w:sz w:val="18"/>
                <w:szCs w:val="18"/>
                <w:highlight w:val="green"/>
              </w:rPr>
              <w:t>Agreement</w:t>
            </w:r>
            <w:r w:rsidRPr="4CF99B53">
              <w:rPr>
                <w:rFonts w:eastAsia="Times New Roman" w:cs="Times New Roman"/>
                <w:color w:val="000000" w:themeColor="text1"/>
                <w:sz w:val="18"/>
                <w:szCs w:val="18"/>
              </w:rPr>
              <w:t xml:space="preserve"> </w:t>
            </w:r>
            <w:r>
              <w:br/>
            </w:r>
            <w:r>
              <w:br/>
            </w:r>
            <w:r w:rsidRPr="4CF99B53">
              <w:rPr>
                <w:rFonts w:eastAsia="Times New Roman" w:cs="Times New Roman"/>
                <w:color w:val="000000" w:themeColor="text1"/>
                <w:sz w:val="18"/>
                <w:szCs w:val="18"/>
              </w:rPr>
              <w:t>On unified TCI framework extension for S-DCI based MTRP, use RRC configuration to inform that the UE shall apply the first one, the second one, or both of the indicated joint/UL TCI states to a PUCCH resource/group</w:t>
            </w:r>
            <w:r>
              <w:br/>
            </w:r>
            <w:r>
              <w:br/>
            </w:r>
            <w:r w:rsidRPr="4CF99B53">
              <w:rPr>
                <w:rFonts w:eastAsia="Times New Roman" w:cs="Times New Roman"/>
                <w:color w:val="000000" w:themeColor="text1"/>
                <w:sz w:val="18"/>
                <w:szCs w:val="18"/>
              </w:rPr>
              <w:t>Note: Detail of the RRC configuration is left to RAN2 design</w:t>
            </w:r>
            <w:r>
              <w:br/>
            </w:r>
            <w:r>
              <w:br/>
            </w:r>
            <w:r w:rsidRPr="4CF99B53">
              <w:rPr>
                <w:rFonts w:eastAsia="Times New Roman" w:cs="Times New Roman"/>
                <w:color w:val="000000" w:themeColor="text1"/>
                <w:sz w:val="18"/>
                <w:szCs w:val="18"/>
              </w:rPr>
              <w:t xml:space="preserve"> </w:t>
            </w:r>
            <w:r w:rsidRPr="00D459F0">
              <w:rPr>
                <w:rFonts w:eastAsia="Times New Roman" w:cs="Times New Roman"/>
                <w:color w:val="000000" w:themeColor="text1"/>
                <w:sz w:val="18"/>
                <w:szCs w:val="18"/>
                <w:highlight w:val="green"/>
              </w:rPr>
              <w:t>Agreement</w:t>
            </w:r>
            <w:r>
              <w:br/>
            </w:r>
            <w:r>
              <w:br/>
            </w:r>
            <w:r w:rsidRPr="4CF99B53">
              <w:rPr>
                <w:rFonts w:eastAsia="Times New Roman" w:cs="Times New Roman"/>
                <w:color w:val="000000" w:themeColor="text1"/>
                <w:sz w:val="18"/>
                <w:szCs w:val="18"/>
              </w:rPr>
              <w:t>On unified TCI framework extension, PDSCH-CJT is supported as a S-DCI based MTRP scheme</w:t>
            </w:r>
            <w:r>
              <w:br/>
            </w:r>
            <w:r>
              <w:br/>
            </w:r>
            <w:r w:rsidRPr="4CF99B53">
              <w:rPr>
                <w:rFonts w:eastAsia="Times New Roman" w:cs="Times New Roman"/>
                <w:color w:val="000000" w:themeColor="text1"/>
                <w:sz w:val="18"/>
                <w:szCs w:val="18"/>
              </w:rPr>
              <w:t>Note: Above does not preclude discussions specific to PDSCH-CJT design in the unified TCI framework</w:t>
            </w:r>
          </w:p>
        </w:tc>
      </w:tr>
    </w:tbl>
    <w:p w14:paraId="2CD17F18" w14:textId="287BA9C5" w:rsidR="4CF99B53" w:rsidRDefault="4CF99B53" w:rsidP="4CF99B53"/>
    <w:p w14:paraId="19F11D38" w14:textId="0FA1D5DF" w:rsidR="005B4801" w:rsidRPr="00EF698B" w:rsidRDefault="00FA2CDA" w:rsidP="005C23A4">
      <w:r w:rsidRPr="00F31747">
        <w:t>In this contribution w</w:t>
      </w:r>
      <w:r w:rsidR="0027138B" w:rsidRPr="00F31747">
        <w:t xml:space="preserve">e discuss the potential impact on RAN4 requirements of the above-described RAN1 agreements. </w:t>
      </w:r>
    </w:p>
    <w:p w14:paraId="51FABCB1" w14:textId="38AE7585" w:rsidR="003B659E" w:rsidRDefault="003B659E" w:rsidP="00AE56B1">
      <w:pPr>
        <w:pStyle w:val="RAN4H1"/>
        <w:rPr>
          <w:lang w:val="en-US"/>
        </w:rPr>
      </w:pPr>
      <w:bookmarkStart w:id="4" w:name="_Toc116995842"/>
      <w:r w:rsidRPr="4CF99B53">
        <w:rPr>
          <w:lang w:val="en-US"/>
        </w:rPr>
        <w:t>Discussion</w:t>
      </w:r>
      <w:bookmarkEnd w:id="4"/>
    </w:p>
    <w:p w14:paraId="138409A9" w14:textId="18A55F01" w:rsidR="00596A3A" w:rsidRDefault="00596A3A" w:rsidP="00D53447">
      <w:bookmarkStart w:id="5" w:name="_Toc116995848"/>
    </w:p>
    <w:p w14:paraId="28C378E2" w14:textId="3B94377A" w:rsidR="00346495" w:rsidRPr="00596A3A" w:rsidRDefault="00346495" w:rsidP="00346495">
      <w:pPr>
        <w:spacing w:line="240" w:lineRule="auto"/>
        <w:jc w:val="both"/>
      </w:pPr>
      <w:r>
        <w:rPr>
          <w:rFonts w:cs="Times New Roman"/>
          <w:szCs w:val="20"/>
          <w:lang w:val="en-GB"/>
        </w:rPr>
        <w:t xml:space="preserve">For Rel-17, agreed layer combinations require UE to support at least 2-APs per antenna panel. From </w:t>
      </w:r>
      <w:r w:rsidR="001E4456">
        <w:rPr>
          <w:rFonts w:cs="Times New Roman"/>
          <w:szCs w:val="20"/>
          <w:lang w:val="en-GB"/>
        </w:rPr>
        <w:t xml:space="preserve">a </w:t>
      </w:r>
      <w:r>
        <w:rPr>
          <w:rFonts w:cs="Times New Roman"/>
          <w:szCs w:val="20"/>
          <w:lang w:val="en-GB"/>
        </w:rPr>
        <w:t>specification perspective, different DMRS antenna port combinations indication associated with different antenna panels needs to be considered in the context MU-MIMO.</w:t>
      </w:r>
    </w:p>
    <w:p w14:paraId="4FC1E932" w14:textId="59618F94" w:rsidR="003E7CE5" w:rsidRDefault="003C3C72" w:rsidP="00596A3A">
      <w:pPr>
        <w:spacing w:line="240" w:lineRule="auto"/>
        <w:jc w:val="both"/>
        <w:rPr>
          <w:rFonts w:asciiTheme="majorBidi" w:hAnsiTheme="majorBidi" w:cstheme="majorBidi"/>
          <w:szCs w:val="20"/>
          <w:lang w:val="en-GB"/>
        </w:rPr>
      </w:pPr>
      <w:r>
        <w:rPr>
          <w:rFonts w:cs="Times New Roman"/>
          <w:szCs w:val="20"/>
          <w:lang w:val="en-GB" w:eastAsia="en-GB"/>
        </w:rPr>
        <w:t xml:space="preserve">In Rel-18 scope, different layer combinations with </w:t>
      </w:r>
      <w:r w:rsidR="00420B4B">
        <w:rPr>
          <w:rFonts w:cs="Times New Roman"/>
          <w:szCs w:val="20"/>
          <w:lang w:val="en-GB" w:eastAsia="en-GB"/>
        </w:rPr>
        <w:t xml:space="preserve">a </w:t>
      </w:r>
      <w:r>
        <w:rPr>
          <w:rFonts w:cs="Times New Roman"/>
          <w:szCs w:val="20"/>
          <w:lang w:val="en-GB" w:eastAsia="en-GB"/>
        </w:rPr>
        <w:t xml:space="preserve">single codeword can be associated with different UE antenna panels associated with different UL TX beams. From </w:t>
      </w:r>
      <w:proofErr w:type="spellStart"/>
      <w:r>
        <w:rPr>
          <w:rFonts w:cs="Times New Roman"/>
          <w:szCs w:val="20"/>
          <w:lang w:val="en-GB" w:eastAsia="en-GB"/>
        </w:rPr>
        <w:t>gNB</w:t>
      </w:r>
      <w:proofErr w:type="spellEnd"/>
      <w:r>
        <w:rPr>
          <w:rFonts w:cs="Times New Roman"/>
          <w:szCs w:val="20"/>
          <w:lang w:val="en-GB" w:eastAsia="en-GB"/>
        </w:rPr>
        <w:t xml:space="preserve"> perspective, this is </w:t>
      </w:r>
      <w:proofErr w:type="gramStart"/>
      <w:r>
        <w:rPr>
          <w:rFonts w:cs="Times New Roman"/>
          <w:szCs w:val="20"/>
          <w:lang w:val="en-GB" w:eastAsia="en-GB"/>
        </w:rPr>
        <w:t>similar to</w:t>
      </w:r>
      <w:proofErr w:type="gramEnd"/>
      <w:r>
        <w:rPr>
          <w:rFonts w:cs="Times New Roman"/>
          <w:szCs w:val="20"/>
          <w:lang w:val="en-GB" w:eastAsia="en-GB"/>
        </w:rPr>
        <w:t xml:space="preserve"> </w:t>
      </w:r>
      <w:r w:rsidR="00420B4B">
        <w:rPr>
          <w:rFonts w:cs="Times New Roman"/>
          <w:szCs w:val="20"/>
          <w:lang w:val="en-GB" w:eastAsia="en-GB"/>
        </w:rPr>
        <w:t xml:space="preserve">the </w:t>
      </w:r>
      <w:r>
        <w:rPr>
          <w:rFonts w:cs="Times New Roman"/>
          <w:szCs w:val="20"/>
          <w:lang w:val="en-GB" w:eastAsia="en-GB"/>
        </w:rPr>
        <w:t xml:space="preserve">uplink MU-MIMO PUSCH operation, where the </w:t>
      </w:r>
      <w:proofErr w:type="spellStart"/>
      <w:r>
        <w:rPr>
          <w:rFonts w:cs="Times New Roman"/>
          <w:szCs w:val="20"/>
          <w:lang w:val="en-GB" w:eastAsia="en-GB"/>
        </w:rPr>
        <w:t>gNB</w:t>
      </w:r>
      <w:proofErr w:type="spellEnd"/>
      <w:r>
        <w:rPr>
          <w:rFonts w:cs="Times New Roman"/>
          <w:szCs w:val="20"/>
          <w:lang w:val="en-GB" w:eastAsia="en-GB"/>
        </w:rPr>
        <w:t xml:space="preserve"> can configure different layers (=DMRS antenna ports) into </w:t>
      </w:r>
      <w:r w:rsidR="00420B4B">
        <w:rPr>
          <w:rFonts w:cs="Times New Roman"/>
          <w:szCs w:val="20"/>
          <w:lang w:val="en-GB" w:eastAsia="en-GB"/>
        </w:rPr>
        <w:t xml:space="preserve">the </w:t>
      </w:r>
      <w:r>
        <w:rPr>
          <w:rFonts w:cs="Times New Roman"/>
          <w:szCs w:val="20"/>
          <w:lang w:val="en-GB" w:eastAsia="en-GB"/>
        </w:rPr>
        <w:t>same or different CDM groups</w:t>
      </w:r>
      <w:r w:rsidR="00714AE0">
        <w:rPr>
          <w:rFonts w:cs="Times New Roman"/>
          <w:szCs w:val="20"/>
          <w:lang w:val="en-GB" w:eastAsia="en-GB"/>
        </w:rPr>
        <w:t xml:space="preserve">. </w:t>
      </w:r>
      <w:r w:rsidR="003E7CE5">
        <w:rPr>
          <w:rFonts w:asciiTheme="majorBidi" w:hAnsiTheme="majorBidi" w:cstheme="majorBidi"/>
          <w:szCs w:val="20"/>
          <w:lang w:val="en-GB"/>
        </w:rPr>
        <w:t>Fo</w:t>
      </w:r>
      <w:r w:rsidR="00A3424C">
        <w:rPr>
          <w:rFonts w:asciiTheme="majorBidi" w:hAnsiTheme="majorBidi" w:cstheme="majorBidi"/>
          <w:szCs w:val="20"/>
          <w:lang w:val="en-GB"/>
        </w:rPr>
        <w:t xml:space="preserve">r </w:t>
      </w:r>
      <w:r w:rsidR="003E7CE5">
        <w:rPr>
          <w:rFonts w:asciiTheme="majorBidi" w:hAnsiTheme="majorBidi" w:cstheme="majorBidi"/>
          <w:szCs w:val="20"/>
          <w:lang w:val="en-GB"/>
        </w:rPr>
        <w:t>simultaneous multi-panel PUSCH transmission, the network may configure the UE with different DMRS CDM groups associated with different antenna panels.</w:t>
      </w:r>
    </w:p>
    <w:p w14:paraId="25B122C7" w14:textId="77777777" w:rsidR="00040AE4" w:rsidRDefault="00040AE4" w:rsidP="00D53447"/>
    <w:p w14:paraId="6AA44F76" w14:textId="26A44174" w:rsidR="00D53447" w:rsidRDefault="00D53447" w:rsidP="00D53447">
      <w:r>
        <w:t xml:space="preserve">In </w:t>
      </w:r>
      <w:r w:rsidRPr="00266D48">
        <w:t>R4-2212065</w:t>
      </w:r>
      <w:r>
        <w:t>, “</w:t>
      </w:r>
      <w:r w:rsidRPr="0028291A">
        <w:t xml:space="preserve">Reply to LS on UE power limitation for </w:t>
      </w:r>
      <w:proofErr w:type="spellStart"/>
      <w:r w:rsidRPr="0028291A">
        <w:t>STxMP</w:t>
      </w:r>
      <w:proofErr w:type="spellEnd"/>
      <w:r w:rsidRPr="0028291A">
        <w:t xml:space="preserve"> in FR2 (R1-2205639)</w:t>
      </w:r>
      <w:r>
        <w:t xml:space="preserve">”, the answer to questions is clear and the power </w:t>
      </w:r>
      <w:r w:rsidR="004475AA">
        <w:t xml:space="preserve">limit </w:t>
      </w:r>
      <w:r>
        <w:t xml:space="preserve">in the current standard TS 38.101-2 should be followed. The transmitting power from one panel, or from two panels simultaneously, or the sum of streams of 4 layers simultaneously </w:t>
      </w:r>
      <w:r w:rsidR="004475AA">
        <w:t xml:space="preserve">needs </w:t>
      </w:r>
      <w:r>
        <w:t>to be limited according to the standard.</w:t>
      </w:r>
    </w:p>
    <w:p w14:paraId="4762BA02" w14:textId="1E4F3452" w:rsidR="00D53447" w:rsidRDefault="004D09CF" w:rsidP="00D53447">
      <w:r>
        <w:rPr>
          <w:b/>
          <w:bCs/>
        </w:rPr>
        <w:t>O</w:t>
      </w:r>
      <w:r w:rsidR="004475AA">
        <w:rPr>
          <w:b/>
          <w:bCs/>
        </w:rPr>
        <w:t>bservation</w:t>
      </w:r>
      <w:r w:rsidR="00D53447" w:rsidRPr="1DE50A26">
        <w:rPr>
          <w:b/>
          <w:bCs/>
        </w:rPr>
        <w:t xml:space="preserve"> 1:</w:t>
      </w:r>
      <w:r w:rsidR="00D53447">
        <w:t xml:space="preserve"> The EIRP relaxations </w:t>
      </w:r>
      <w:r w:rsidR="3942D8C5">
        <w:t>are</w:t>
      </w:r>
      <w:r w:rsidR="00D53447">
        <w:t xml:space="preserve"> used in UL CA requirements (on two different CC for inter-band UL CA) in the consideration of the UE spherical coverage and the performance of UE in TS 38.101-2. </w:t>
      </w:r>
      <w:r w:rsidR="003D5B05">
        <w:t>Similar</w:t>
      </w:r>
      <w:r w:rsidR="00D53447">
        <w:t xml:space="preserve"> studies </w:t>
      </w:r>
      <w:r w:rsidR="003D5B05">
        <w:t xml:space="preserve">are </w:t>
      </w:r>
      <w:r w:rsidR="00096599">
        <w:t>also needed</w:t>
      </w:r>
      <w:r w:rsidR="00D53447">
        <w:t xml:space="preserve"> for multi-panels, multi streams UE design for same CC or different CC use cases</w:t>
      </w:r>
      <w:r w:rsidR="00096599">
        <w:t xml:space="preserve"> in FR2</w:t>
      </w:r>
      <w:r w:rsidR="00D53447">
        <w:t xml:space="preserve">. </w:t>
      </w:r>
    </w:p>
    <w:p w14:paraId="3186BA11" w14:textId="77777777" w:rsidR="00D53447" w:rsidRPr="000E30E1" w:rsidRDefault="00D53447" w:rsidP="00D53447">
      <w:pPr>
        <w:pStyle w:val="TH"/>
      </w:pPr>
      <w:r w:rsidRPr="000E30E1">
        <w:t>Table 6.2A.1-</w:t>
      </w:r>
      <w:r>
        <w:t>1</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1</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D53447" w:rsidRPr="000E30E1" w14:paraId="122A8960" w14:textId="77777777" w:rsidTr="003D7FE0">
        <w:trPr>
          <w:jc w:val="center"/>
        </w:trPr>
        <w:tc>
          <w:tcPr>
            <w:tcW w:w="2605" w:type="dxa"/>
            <w:tcBorders>
              <w:top w:val="single" w:sz="4" w:space="0" w:color="auto"/>
              <w:bottom w:val="single" w:sz="4" w:space="0" w:color="auto"/>
            </w:tcBorders>
            <w:vAlign w:val="center"/>
          </w:tcPr>
          <w:p w14:paraId="189CE1C4" w14:textId="77777777" w:rsidR="00D53447" w:rsidRPr="000E30E1" w:rsidRDefault="00D53447" w:rsidP="003D7FE0">
            <w:pPr>
              <w:pStyle w:val="TAH"/>
            </w:pPr>
            <w:r w:rsidRPr="000E30E1">
              <w:t xml:space="preserve"> NR CA </w:t>
            </w:r>
            <w:r>
              <w:t>configuration</w:t>
            </w:r>
          </w:p>
        </w:tc>
        <w:tc>
          <w:tcPr>
            <w:tcW w:w="2250" w:type="dxa"/>
            <w:tcBorders>
              <w:top w:val="single" w:sz="4" w:space="0" w:color="auto"/>
            </w:tcBorders>
          </w:tcPr>
          <w:p w14:paraId="558DC989" w14:textId="77777777" w:rsidR="00D53447" w:rsidRPr="000E30E1" w:rsidRDefault="00D53447" w:rsidP="003D7FE0">
            <w:pPr>
              <w:pStyle w:val="TAH"/>
            </w:pPr>
            <w:r w:rsidRPr="000E30E1">
              <w:t>NR band</w:t>
            </w:r>
          </w:p>
        </w:tc>
        <w:tc>
          <w:tcPr>
            <w:tcW w:w="1440" w:type="dxa"/>
            <w:tcBorders>
              <w:top w:val="single" w:sz="4" w:space="0" w:color="auto"/>
            </w:tcBorders>
            <w:shd w:val="clear" w:color="auto" w:fill="auto"/>
            <w:vAlign w:val="center"/>
          </w:tcPr>
          <w:p w14:paraId="3B79627D" w14:textId="77777777" w:rsidR="00D53447" w:rsidRPr="000E30E1" w:rsidRDefault="00D53447" w:rsidP="003D7FE0">
            <w:pPr>
              <w:pStyle w:val="TAH"/>
            </w:pPr>
            <w:proofErr w:type="spellStart"/>
            <w:r w:rsidRPr="000E30E1">
              <w:t>Δ</w:t>
            </w:r>
            <w:proofErr w:type="gramStart"/>
            <w:r w:rsidRPr="000E30E1">
              <w:t>T</w:t>
            </w:r>
            <w:r w:rsidRPr="000E30E1">
              <w:rPr>
                <w:vertAlign w:val="subscript"/>
              </w:rPr>
              <w:t>IB,P</w:t>
            </w:r>
            <w:proofErr w:type="gramEnd"/>
            <w:r w:rsidRPr="000E30E1">
              <w:rPr>
                <w:vertAlign w:val="subscript"/>
              </w:rPr>
              <w:t>,n</w:t>
            </w:r>
            <w:proofErr w:type="spellEnd"/>
            <w:r w:rsidRPr="000E30E1">
              <w:t xml:space="preserve"> (dB)</w:t>
            </w:r>
          </w:p>
        </w:tc>
        <w:tc>
          <w:tcPr>
            <w:tcW w:w="2340" w:type="dxa"/>
            <w:tcBorders>
              <w:top w:val="single" w:sz="4" w:space="0" w:color="auto"/>
            </w:tcBorders>
          </w:tcPr>
          <w:p w14:paraId="3AC42775" w14:textId="77777777" w:rsidR="00D53447" w:rsidRPr="000E30E1" w:rsidRDefault="00D53447" w:rsidP="003D7FE0">
            <w:pPr>
              <w:pStyle w:val="TAH"/>
            </w:pPr>
            <w:proofErr w:type="spellStart"/>
            <w:r w:rsidRPr="000E30E1">
              <w:t>Δ</w:t>
            </w:r>
            <w:proofErr w:type="gramStart"/>
            <w:r w:rsidRPr="000E30E1">
              <w:t>T</w:t>
            </w:r>
            <w:r w:rsidRPr="000E30E1">
              <w:rPr>
                <w:vertAlign w:val="subscript"/>
              </w:rPr>
              <w:t>IB,S</w:t>
            </w:r>
            <w:proofErr w:type="gramEnd"/>
            <w:r w:rsidRPr="000E30E1">
              <w:rPr>
                <w:vertAlign w:val="subscript"/>
              </w:rPr>
              <w:t>,n</w:t>
            </w:r>
            <w:proofErr w:type="spellEnd"/>
            <w:r w:rsidRPr="000E30E1">
              <w:t xml:space="preserve"> (dB)</w:t>
            </w:r>
          </w:p>
        </w:tc>
      </w:tr>
      <w:tr w:rsidR="00D53447" w:rsidRPr="000E30E1" w14:paraId="5B31956E" w14:textId="77777777" w:rsidTr="003D7FE0">
        <w:trPr>
          <w:jc w:val="center"/>
        </w:trPr>
        <w:tc>
          <w:tcPr>
            <w:tcW w:w="2605" w:type="dxa"/>
            <w:tcBorders>
              <w:top w:val="nil"/>
              <w:left w:val="single" w:sz="4" w:space="0" w:color="auto"/>
              <w:bottom w:val="nil"/>
              <w:right w:val="single" w:sz="4" w:space="0" w:color="auto"/>
            </w:tcBorders>
            <w:shd w:val="clear" w:color="auto" w:fill="auto"/>
            <w:vAlign w:val="center"/>
          </w:tcPr>
          <w:p w14:paraId="04E4E180" w14:textId="77777777" w:rsidR="00D53447" w:rsidRPr="000E30E1" w:rsidRDefault="00D53447" w:rsidP="003D7FE0">
            <w:pPr>
              <w:pStyle w:val="TAC"/>
            </w:pPr>
            <w:r w:rsidRPr="000E30E1">
              <w:t>CA_n2</w:t>
            </w:r>
            <w:r>
              <w:t>60A</w:t>
            </w:r>
            <w:r w:rsidRPr="000E30E1">
              <w:t>-n2</w:t>
            </w:r>
            <w:r>
              <w:t>61A</w:t>
            </w:r>
          </w:p>
        </w:tc>
        <w:tc>
          <w:tcPr>
            <w:tcW w:w="2250" w:type="dxa"/>
            <w:tcBorders>
              <w:top w:val="single" w:sz="4" w:space="0" w:color="auto"/>
              <w:left w:val="single" w:sz="4" w:space="0" w:color="auto"/>
              <w:bottom w:val="single" w:sz="4" w:space="0" w:color="auto"/>
              <w:right w:val="single" w:sz="4" w:space="0" w:color="auto"/>
            </w:tcBorders>
          </w:tcPr>
          <w:p w14:paraId="5BAB92C3" w14:textId="77777777" w:rsidR="00D53447" w:rsidRPr="000E30E1" w:rsidRDefault="00D53447" w:rsidP="003D7FE0">
            <w:pPr>
              <w:pStyle w:val="TAC"/>
            </w:pPr>
            <w:r w:rsidRPr="000E30E1">
              <w:t>n2</w:t>
            </w:r>
            <w:r>
              <w:t>60</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2A2392" w14:textId="77777777" w:rsidR="00D53447" w:rsidRPr="000E30E1" w:rsidRDefault="00D53447" w:rsidP="003D7FE0">
            <w:pPr>
              <w:pStyle w:val="TAC"/>
            </w:pPr>
            <w:r>
              <w:t>0</w:t>
            </w:r>
          </w:p>
        </w:tc>
        <w:tc>
          <w:tcPr>
            <w:tcW w:w="2340" w:type="dxa"/>
            <w:tcBorders>
              <w:top w:val="single" w:sz="4" w:space="0" w:color="auto"/>
              <w:left w:val="single" w:sz="4" w:space="0" w:color="auto"/>
              <w:bottom w:val="single" w:sz="4" w:space="0" w:color="auto"/>
              <w:right w:val="single" w:sz="4" w:space="0" w:color="auto"/>
            </w:tcBorders>
          </w:tcPr>
          <w:p w14:paraId="4BA384FC" w14:textId="77777777" w:rsidR="00D53447" w:rsidRPr="000E30E1" w:rsidRDefault="00D53447" w:rsidP="003D7FE0">
            <w:pPr>
              <w:pStyle w:val="TAC"/>
            </w:pPr>
            <w:r>
              <w:t>0.5</w:t>
            </w:r>
          </w:p>
        </w:tc>
      </w:tr>
      <w:tr w:rsidR="00D53447" w14:paraId="6AE05E9B" w14:textId="77777777" w:rsidTr="003D7FE0">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183E8DA8" w14:textId="77777777" w:rsidR="00D53447" w:rsidRPr="000E30E1" w:rsidRDefault="00D53447" w:rsidP="003D7FE0">
            <w:pPr>
              <w:pStyle w:val="TAC"/>
            </w:pPr>
          </w:p>
        </w:tc>
        <w:tc>
          <w:tcPr>
            <w:tcW w:w="2250" w:type="dxa"/>
            <w:tcBorders>
              <w:top w:val="single" w:sz="4" w:space="0" w:color="auto"/>
              <w:left w:val="single" w:sz="4" w:space="0" w:color="auto"/>
              <w:bottom w:val="single" w:sz="4" w:space="0" w:color="auto"/>
              <w:right w:val="single" w:sz="4" w:space="0" w:color="auto"/>
            </w:tcBorders>
          </w:tcPr>
          <w:p w14:paraId="32CD20B4" w14:textId="77777777" w:rsidR="00D53447" w:rsidRPr="000E30E1" w:rsidRDefault="00D53447" w:rsidP="003D7FE0">
            <w:pPr>
              <w:pStyle w:val="TAC"/>
            </w:pPr>
            <w:r w:rsidRPr="000E30E1">
              <w:t>n2</w:t>
            </w:r>
            <w:r>
              <w:t>61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26C557D" w14:textId="77777777" w:rsidR="00D53447" w:rsidRPr="000E30E1" w:rsidRDefault="00D53447" w:rsidP="003D7FE0">
            <w:pPr>
              <w:pStyle w:val="TAC"/>
            </w:pPr>
            <w:r>
              <w:t>0</w:t>
            </w:r>
          </w:p>
        </w:tc>
        <w:tc>
          <w:tcPr>
            <w:tcW w:w="2340" w:type="dxa"/>
            <w:tcBorders>
              <w:top w:val="single" w:sz="4" w:space="0" w:color="auto"/>
              <w:left w:val="single" w:sz="4" w:space="0" w:color="auto"/>
              <w:bottom w:val="single" w:sz="4" w:space="0" w:color="auto"/>
              <w:right w:val="single" w:sz="4" w:space="0" w:color="auto"/>
            </w:tcBorders>
          </w:tcPr>
          <w:p w14:paraId="11184373" w14:textId="77777777" w:rsidR="00D53447" w:rsidRDefault="00D53447" w:rsidP="003D7FE0">
            <w:pPr>
              <w:pStyle w:val="TAC"/>
            </w:pPr>
            <w:r>
              <w:t>0.5</w:t>
            </w:r>
          </w:p>
        </w:tc>
      </w:tr>
    </w:tbl>
    <w:p w14:paraId="3C9A4A42" w14:textId="77777777" w:rsidR="00D53447" w:rsidRDefault="00D53447" w:rsidP="00D53447">
      <w:pPr>
        <w:pStyle w:val="TH"/>
        <w:rPr>
          <w:rFonts w:eastAsia="Malgun Gothic"/>
        </w:rPr>
      </w:pPr>
    </w:p>
    <w:p w14:paraId="061F99D3" w14:textId="77777777" w:rsidR="00D53447" w:rsidRPr="000E30E1" w:rsidRDefault="00D53447" w:rsidP="00D53447">
      <w:pPr>
        <w:pStyle w:val="TH"/>
      </w:pPr>
      <w:r w:rsidRPr="000E30E1">
        <w:t>Table 6.2A.1-</w:t>
      </w:r>
      <w:r>
        <w:t>2</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2</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D53447" w:rsidRPr="000E30E1" w14:paraId="53197CFA" w14:textId="77777777" w:rsidTr="003D7FE0">
        <w:trPr>
          <w:jc w:val="center"/>
        </w:trPr>
        <w:tc>
          <w:tcPr>
            <w:tcW w:w="2605" w:type="dxa"/>
            <w:tcBorders>
              <w:top w:val="single" w:sz="4" w:space="0" w:color="auto"/>
              <w:bottom w:val="single" w:sz="4" w:space="0" w:color="auto"/>
            </w:tcBorders>
            <w:vAlign w:val="center"/>
          </w:tcPr>
          <w:p w14:paraId="055CF0F3" w14:textId="77777777" w:rsidR="00D53447" w:rsidRPr="000E30E1" w:rsidRDefault="00D53447" w:rsidP="003D7FE0">
            <w:pPr>
              <w:pStyle w:val="TAH"/>
            </w:pPr>
            <w:r w:rsidRPr="000E30E1">
              <w:t xml:space="preserve"> NR CA </w:t>
            </w:r>
            <w:r>
              <w:t>configuration</w:t>
            </w:r>
          </w:p>
        </w:tc>
        <w:tc>
          <w:tcPr>
            <w:tcW w:w="2250" w:type="dxa"/>
            <w:tcBorders>
              <w:top w:val="single" w:sz="4" w:space="0" w:color="auto"/>
            </w:tcBorders>
          </w:tcPr>
          <w:p w14:paraId="59943DB8" w14:textId="77777777" w:rsidR="00D53447" w:rsidRPr="000E30E1" w:rsidRDefault="00D53447" w:rsidP="003D7FE0">
            <w:pPr>
              <w:pStyle w:val="TAH"/>
            </w:pPr>
            <w:r w:rsidRPr="000E30E1">
              <w:t>NR band</w:t>
            </w:r>
          </w:p>
        </w:tc>
        <w:tc>
          <w:tcPr>
            <w:tcW w:w="1440" w:type="dxa"/>
            <w:tcBorders>
              <w:top w:val="single" w:sz="4" w:space="0" w:color="auto"/>
            </w:tcBorders>
            <w:shd w:val="clear" w:color="auto" w:fill="auto"/>
            <w:vAlign w:val="center"/>
          </w:tcPr>
          <w:p w14:paraId="27109276" w14:textId="77777777" w:rsidR="00D53447" w:rsidRPr="000E30E1" w:rsidRDefault="00D53447" w:rsidP="003D7FE0">
            <w:pPr>
              <w:pStyle w:val="TAH"/>
            </w:pPr>
            <w:proofErr w:type="spellStart"/>
            <w:r w:rsidRPr="000E30E1">
              <w:t>Δ</w:t>
            </w:r>
            <w:proofErr w:type="gramStart"/>
            <w:r w:rsidRPr="000E30E1">
              <w:t>T</w:t>
            </w:r>
            <w:r w:rsidRPr="000E30E1">
              <w:rPr>
                <w:vertAlign w:val="subscript"/>
              </w:rPr>
              <w:t>IB,P</w:t>
            </w:r>
            <w:proofErr w:type="gramEnd"/>
            <w:r w:rsidRPr="000E30E1">
              <w:rPr>
                <w:vertAlign w:val="subscript"/>
              </w:rPr>
              <w:t>,n</w:t>
            </w:r>
            <w:proofErr w:type="spellEnd"/>
            <w:r w:rsidRPr="000E30E1">
              <w:t xml:space="preserve"> (dB)</w:t>
            </w:r>
          </w:p>
        </w:tc>
        <w:tc>
          <w:tcPr>
            <w:tcW w:w="2340" w:type="dxa"/>
            <w:tcBorders>
              <w:top w:val="single" w:sz="4" w:space="0" w:color="auto"/>
            </w:tcBorders>
          </w:tcPr>
          <w:p w14:paraId="41CF91CF" w14:textId="77777777" w:rsidR="00D53447" w:rsidRPr="000E30E1" w:rsidRDefault="00D53447" w:rsidP="003D7FE0">
            <w:pPr>
              <w:pStyle w:val="TAH"/>
            </w:pPr>
            <w:proofErr w:type="spellStart"/>
            <w:r w:rsidRPr="000E30E1">
              <w:t>Δ</w:t>
            </w:r>
            <w:proofErr w:type="gramStart"/>
            <w:r w:rsidRPr="000E30E1">
              <w:t>T</w:t>
            </w:r>
            <w:r w:rsidRPr="000E30E1">
              <w:rPr>
                <w:vertAlign w:val="subscript"/>
              </w:rPr>
              <w:t>IB,S</w:t>
            </w:r>
            <w:proofErr w:type="gramEnd"/>
            <w:r w:rsidRPr="000E30E1">
              <w:rPr>
                <w:vertAlign w:val="subscript"/>
              </w:rPr>
              <w:t>,n</w:t>
            </w:r>
            <w:proofErr w:type="spellEnd"/>
            <w:r w:rsidRPr="000E30E1">
              <w:t xml:space="preserve"> (dB)</w:t>
            </w:r>
          </w:p>
        </w:tc>
      </w:tr>
      <w:tr w:rsidR="00D53447" w:rsidRPr="000E30E1" w14:paraId="6F5B6A11" w14:textId="77777777" w:rsidTr="003D7FE0">
        <w:trPr>
          <w:jc w:val="center"/>
        </w:trPr>
        <w:tc>
          <w:tcPr>
            <w:tcW w:w="2605" w:type="dxa"/>
            <w:tcBorders>
              <w:top w:val="nil"/>
              <w:left w:val="single" w:sz="4" w:space="0" w:color="auto"/>
              <w:bottom w:val="nil"/>
              <w:right w:val="single" w:sz="4" w:space="0" w:color="auto"/>
            </w:tcBorders>
            <w:shd w:val="clear" w:color="auto" w:fill="auto"/>
            <w:vAlign w:val="center"/>
          </w:tcPr>
          <w:p w14:paraId="13DC674D" w14:textId="77777777" w:rsidR="00D53447" w:rsidRPr="000E30E1" w:rsidRDefault="00D53447" w:rsidP="003D7FE0">
            <w:pPr>
              <w:pStyle w:val="TAC"/>
            </w:pPr>
            <w:r w:rsidRPr="000E30E1">
              <w:t>CA_n2</w:t>
            </w:r>
            <w:r>
              <w:t>57A</w:t>
            </w:r>
            <w:r w:rsidRPr="000E30E1">
              <w:t>-n2</w:t>
            </w:r>
            <w:r>
              <w:t>59A</w:t>
            </w:r>
          </w:p>
        </w:tc>
        <w:tc>
          <w:tcPr>
            <w:tcW w:w="2250" w:type="dxa"/>
            <w:tcBorders>
              <w:top w:val="single" w:sz="4" w:space="0" w:color="auto"/>
              <w:left w:val="single" w:sz="4" w:space="0" w:color="auto"/>
              <w:bottom w:val="single" w:sz="4" w:space="0" w:color="auto"/>
              <w:right w:val="single" w:sz="4" w:space="0" w:color="auto"/>
            </w:tcBorders>
          </w:tcPr>
          <w:p w14:paraId="0973BEB5" w14:textId="77777777" w:rsidR="00D53447" w:rsidRPr="000E30E1" w:rsidRDefault="00D53447" w:rsidP="003D7FE0">
            <w:pPr>
              <w:pStyle w:val="TAC"/>
            </w:pPr>
            <w:r w:rsidRPr="000E30E1">
              <w:t>n2</w:t>
            </w:r>
            <w:r>
              <w:t>57</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867CF0A" w14:textId="77777777" w:rsidR="00D53447" w:rsidRPr="000E30E1" w:rsidRDefault="00D53447" w:rsidP="003D7FE0">
            <w:pPr>
              <w:pStyle w:val="TAC"/>
            </w:pPr>
            <w:r>
              <w:t>0.7</w:t>
            </w:r>
          </w:p>
        </w:tc>
        <w:tc>
          <w:tcPr>
            <w:tcW w:w="2340" w:type="dxa"/>
            <w:tcBorders>
              <w:top w:val="single" w:sz="4" w:space="0" w:color="auto"/>
              <w:left w:val="single" w:sz="4" w:space="0" w:color="auto"/>
              <w:bottom w:val="single" w:sz="4" w:space="0" w:color="auto"/>
              <w:right w:val="single" w:sz="4" w:space="0" w:color="auto"/>
            </w:tcBorders>
          </w:tcPr>
          <w:p w14:paraId="017E8FB3" w14:textId="77777777" w:rsidR="00D53447" w:rsidRPr="000E30E1" w:rsidRDefault="00D53447" w:rsidP="003D7FE0">
            <w:pPr>
              <w:pStyle w:val="TAC"/>
            </w:pPr>
            <w:r>
              <w:t>2.7</w:t>
            </w:r>
          </w:p>
        </w:tc>
      </w:tr>
      <w:tr w:rsidR="00D53447" w14:paraId="329295EE" w14:textId="77777777" w:rsidTr="003D7FE0">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2100F62E" w14:textId="77777777" w:rsidR="00D53447" w:rsidRPr="000E30E1" w:rsidRDefault="00D53447" w:rsidP="003D7FE0">
            <w:pPr>
              <w:pStyle w:val="TAC"/>
            </w:pPr>
          </w:p>
        </w:tc>
        <w:tc>
          <w:tcPr>
            <w:tcW w:w="2250" w:type="dxa"/>
            <w:tcBorders>
              <w:top w:val="single" w:sz="4" w:space="0" w:color="auto"/>
              <w:left w:val="single" w:sz="4" w:space="0" w:color="auto"/>
              <w:bottom w:val="single" w:sz="4" w:space="0" w:color="auto"/>
              <w:right w:val="single" w:sz="4" w:space="0" w:color="auto"/>
            </w:tcBorders>
          </w:tcPr>
          <w:p w14:paraId="3CF10639" w14:textId="77777777" w:rsidR="00D53447" w:rsidRPr="000E30E1" w:rsidRDefault="00D53447" w:rsidP="003D7FE0">
            <w:pPr>
              <w:pStyle w:val="TAC"/>
            </w:pPr>
            <w:r w:rsidRPr="000E30E1">
              <w:t>n2</w:t>
            </w:r>
            <w:r>
              <w:t>59</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5888570" w14:textId="77777777" w:rsidR="00D53447" w:rsidRPr="000E30E1" w:rsidRDefault="00D53447" w:rsidP="003D7FE0">
            <w:pPr>
              <w:pStyle w:val="TAC"/>
            </w:pPr>
            <w:r>
              <w:t>0.5</w:t>
            </w:r>
          </w:p>
        </w:tc>
        <w:tc>
          <w:tcPr>
            <w:tcW w:w="2340" w:type="dxa"/>
            <w:tcBorders>
              <w:top w:val="single" w:sz="4" w:space="0" w:color="auto"/>
              <w:left w:val="single" w:sz="4" w:space="0" w:color="auto"/>
              <w:bottom w:val="single" w:sz="4" w:space="0" w:color="auto"/>
              <w:right w:val="single" w:sz="4" w:space="0" w:color="auto"/>
            </w:tcBorders>
          </w:tcPr>
          <w:p w14:paraId="6173CD29" w14:textId="77777777" w:rsidR="00D53447" w:rsidRDefault="00D53447" w:rsidP="003D7FE0">
            <w:pPr>
              <w:pStyle w:val="TAC"/>
            </w:pPr>
            <w:r>
              <w:t>2.5</w:t>
            </w:r>
          </w:p>
        </w:tc>
      </w:tr>
    </w:tbl>
    <w:p w14:paraId="3C8EA4DA" w14:textId="77777777" w:rsidR="00D53447" w:rsidRDefault="00D53447" w:rsidP="00D53447"/>
    <w:p w14:paraId="27FEB3C0" w14:textId="421CAA8D" w:rsidR="005373F9" w:rsidRDefault="005373F9" w:rsidP="00D53447"/>
    <w:p w14:paraId="7C1866AF" w14:textId="56088E0A" w:rsidR="005373F9" w:rsidRDefault="200EEEF2" w:rsidP="00D53447">
      <w:r w:rsidRPr="00CE5E76">
        <w:t xml:space="preserve">It depends on the UE implementation, the spherical coverages of the antenna modules </w:t>
      </w:r>
      <w:r w:rsidR="16C650AD" w:rsidRPr="00CE5E76">
        <w:t>may be</w:t>
      </w:r>
      <w:r w:rsidRPr="00CE5E76">
        <w:t xml:space="preserve"> in different directions with or without overlapping</w:t>
      </w:r>
      <w:r w:rsidR="110922AE" w:rsidRPr="00CE5E76">
        <w:t>, as shown in the below picture.</w:t>
      </w:r>
      <w:r w:rsidR="58F30B3D" w:rsidRPr="00CE5E76">
        <w:t xml:space="preserve"> When both antenna modules simultaneously </w:t>
      </w:r>
      <w:r w:rsidR="51E11AF9" w:rsidRPr="00CE5E76">
        <w:t>operate</w:t>
      </w:r>
      <w:r w:rsidR="58F30B3D" w:rsidRPr="00CE5E76">
        <w:t xml:space="preserve"> at its maximum power</w:t>
      </w:r>
      <w:r w:rsidR="3BFCE9FB" w:rsidRPr="00CE5E76">
        <w:t xml:space="preserve">, </w:t>
      </w:r>
      <w:r w:rsidR="58F30B3D" w:rsidRPr="00CE5E76">
        <w:t>the power limit may be violated in the overlapping area</w:t>
      </w:r>
      <w:r w:rsidR="27E4AEC3" w:rsidRPr="00CE5E76">
        <w:t>.</w:t>
      </w:r>
    </w:p>
    <w:p w14:paraId="49532BD7" w14:textId="77777777" w:rsidR="00F163D4" w:rsidRDefault="00F163D4" w:rsidP="000129C9">
      <w:pPr>
        <w:keepNext/>
        <w:jc w:val="center"/>
      </w:pPr>
      <w:r>
        <w:rPr>
          <w:noProof/>
        </w:rPr>
        <w:drawing>
          <wp:inline distT="0" distB="0" distL="0" distR="0" wp14:anchorId="4FB5F8D8" wp14:editId="0D0BCC21">
            <wp:extent cx="4640580" cy="2261823"/>
            <wp:effectExtent l="0" t="0" r="762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r="815"/>
                    <a:stretch/>
                  </pic:blipFill>
                  <pic:spPr bwMode="auto">
                    <a:xfrm>
                      <a:off x="0" y="0"/>
                      <a:ext cx="4645262" cy="2264105"/>
                    </a:xfrm>
                    <a:prstGeom prst="rect">
                      <a:avLst/>
                    </a:prstGeom>
                    <a:ln>
                      <a:noFill/>
                    </a:ln>
                    <a:extLst>
                      <a:ext uri="{53640926-AAD7-44D8-BBD7-CCE9431645EC}">
                        <a14:shadowObscured xmlns:a14="http://schemas.microsoft.com/office/drawing/2010/main"/>
                      </a:ext>
                    </a:extLst>
                  </pic:spPr>
                </pic:pic>
              </a:graphicData>
            </a:graphic>
          </wp:inline>
        </w:drawing>
      </w:r>
    </w:p>
    <w:p w14:paraId="4E6C44E3" w14:textId="72097EA6" w:rsidR="005373F9" w:rsidRDefault="00F163D4" w:rsidP="000129C9">
      <w:pPr>
        <w:pStyle w:val="Caption"/>
      </w:pPr>
      <w:r>
        <w:t xml:space="preserve">Figure </w:t>
      </w:r>
      <w:fldSimple w:instr=" SEQ Figure \* ARABIC ">
        <w:r>
          <w:rPr>
            <w:noProof/>
          </w:rPr>
          <w:t>1</w:t>
        </w:r>
      </w:fldSimple>
      <w:r w:rsidR="004C4402">
        <w:t>S</w:t>
      </w:r>
      <w:r>
        <w:t>pherical coverage of two antenna modules</w:t>
      </w:r>
      <w:r w:rsidR="00984575">
        <w:t xml:space="preserve"> with and without overlapping</w:t>
      </w:r>
    </w:p>
    <w:p w14:paraId="29236471" w14:textId="75939C2E" w:rsidR="0046127E" w:rsidRDefault="00391E48" w:rsidP="00D53447">
      <w:r>
        <w:t xml:space="preserve">The targeted use case for </w:t>
      </w:r>
      <w:proofErr w:type="spellStart"/>
      <w:r>
        <w:t>STxMP</w:t>
      </w:r>
      <w:proofErr w:type="spellEnd"/>
      <w:r>
        <w:t xml:space="preserve"> </w:t>
      </w:r>
      <w:r w:rsidR="008865D9">
        <w:t xml:space="preserve">is </w:t>
      </w:r>
      <w:r>
        <w:t xml:space="preserve">SDM schemes. </w:t>
      </w:r>
      <w:r w:rsidR="0046127E">
        <w:t xml:space="preserve">For </w:t>
      </w:r>
      <w:proofErr w:type="spellStart"/>
      <w:r w:rsidR="0046127E">
        <w:t>STxMP</w:t>
      </w:r>
      <w:proofErr w:type="spellEnd"/>
      <w:r w:rsidR="00FB35AB">
        <w:t xml:space="preserve"> (PC1 &amp; PC2</w:t>
      </w:r>
      <w:r w:rsidR="00134D07">
        <w:t xml:space="preserve"> devices</w:t>
      </w:r>
      <w:r w:rsidR="00FB35AB">
        <w:t>)</w:t>
      </w:r>
      <w:r w:rsidR="007D465C">
        <w:t>, it c</w:t>
      </w:r>
      <w:r w:rsidR="00111EE7">
        <w:t>ould</w:t>
      </w:r>
      <w:r w:rsidR="007D465C">
        <w:t xml:space="preserve"> be considered that UEs have t</w:t>
      </w:r>
      <w:r w:rsidR="00501CA7">
        <w:t>w</w:t>
      </w:r>
      <w:r w:rsidR="007D465C">
        <w:t>o distinct and independent</w:t>
      </w:r>
      <w:r w:rsidR="008865D9">
        <w:t xml:space="preserve"> antenna</w:t>
      </w:r>
      <w:r w:rsidR="007D465C">
        <w:t xml:space="preserve"> modules simultaneously operating</w:t>
      </w:r>
      <w:r w:rsidR="00146F7F">
        <w:t xml:space="preserve"> as in Figure 1</w:t>
      </w:r>
      <w:r w:rsidR="00E65E2B">
        <w:t>,</w:t>
      </w:r>
      <w:r w:rsidR="00146F7F">
        <w:t xml:space="preserve"> </w:t>
      </w:r>
      <w:r w:rsidR="00C80A92">
        <w:t xml:space="preserve">with </w:t>
      </w:r>
      <w:r w:rsidR="00146F7F">
        <w:t xml:space="preserve">no overlapping </w:t>
      </w:r>
      <w:r w:rsidR="00912542">
        <w:t>area</w:t>
      </w:r>
      <w:r w:rsidR="00146F7F">
        <w:t>.</w:t>
      </w:r>
      <w:r w:rsidR="007D465C">
        <w:t xml:space="preserve"> Therefore, no impairments </w:t>
      </w:r>
      <w:r w:rsidR="00C11CD3">
        <w:t xml:space="preserve">to UL power </w:t>
      </w:r>
      <w:r w:rsidR="007D465C">
        <w:t xml:space="preserve">should be caused by such </w:t>
      </w:r>
      <w:r w:rsidR="00E84365">
        <w:t xml:space="preserve">an </w:t>
      </w:r>
      <w:r w:rsidR="007D465C">
        <w:t>operation.</w:t>
      </w:r>
    </w:p>
    <w:p w14:paraId="64CB70B4" w14:textId="72E07C90" w:rsidR="00404F27" w:rsidRDefault="210091F4" w:rsidP="000129C9">
      <w:r w:rsidRPr="2C6FEA85">
        <w:rPr>
          <w:b/>
          <w:bCs/>
        </w:rPr>
        <w:t>Proposal 1</w:t>
      </w:r>
      <w:r>
        <w:t xml:space="preserve">: </w:t>
      </w:r>
      <w:r w:rsidR="3B961748">
        <w:t xml:space="preserve">If </w:t>
      </w:r>
      <w:r w:rsidR="00B364D5">
        <w:t xml:space="preserve">the </w:t>
      </w:r>
      <w:r w:rsidR="3B961748">
        <w:t xml:space="preserve">UE RF architecture scope is limited to </w:t>
      </w:r>
      <w:r w:rsidR="00B364D5">
        <w:t xml:space="preserve">a scenario where the </w:t>
      </w:r>
      <w:r w:rsidR="3B961748">
        <w:t xml:space="preserve">2 </w:t>
      </w:r>
      <w:r w:rsidR="00B364D5">
        <w:t xml:space="preserve">active </w:t>
      </w:r>
      <w:r w:rsidR="3B961748">
        <w:t xml:space="preserve">Tx chains </w:t>
      </w:r>
      <w:r w:rsidR="00B364D5">
        <w:t xml:space="preserve">are associated to </w:t>
      </w:r>
      <w:r w:rsidR="3B961748">
        <w:t xml:space="preserve">2 </w:t>
      </w:r>
      <w:r w:rsidR="00B364D5">
        <w:t xml:space="preserve">different </w:t>
      </w:r>
      <w:r w:rsidR="3B961748">
        <w:t>panels (</w:t>
      </w:r>
      <w:proofErr w:type="gramStart"/>
      <w:r w:rsidR="00B364D5">
        <w:t>i.e.</w:t>
      </w:r>
      <w:proofErr w:type="gramEnd"/>
      <w:r w:rsidR="00B364D5">
        <w:t xml:space="preserve"> </w:t>
      </w:r>
      <w:r w:rsidR="3B961748">
        <w:t xml:space="preserve">2 </w:t>
      </w:r>
      <w:r w:rsidR="7948C357">
        <w:t>independent</w:t>
      </w:r>
      <w:r w:rsidR="3B961748">
        <w:t xml:space="preserve"> </w:t>
      </w:r>
      <w:r w:rsidR="00006E86">
        <w:t xml:space="preserve">antenna </w:t>
      </w:r>
      <w:r w:rsidR="3B961748">
        <w:t>modules</w:t>
      </w:r>
      <w:r w:rsidR="4661FB2D">
        <w:t>)</w:t>
      </w:r>
      <w:r w:rsidR="3B961748">
        <w:t xml:space="preserve">, then no relaxations should be introduced for </w:t>
      </w:r>
      <w:r w:rsidR="00B364D5">
        <w:t xml:space="preserve">Rel-18 </w:t>
      </w:r>
      <w:r w:rsidR="3B961748">
        <w:t>UL MIMO operations.</w:t>
      </w:r>
    </w:p>
    <w:p w14:paraId="3CC7BCE3" w14:textId="0036CC10" w:rsidR="00D53447" w:rsidRDefault="00D53447" w:rsidP="00D53447">
      <w:r>
        <w:t xml:space="preserve"> </w:t>
      </w:r>
    </w:p>
    <w:p w14:paraId="55A6317F" w14:textId="77777777" w:rsidR="00D53447" w:rsidRPr="00EF698B" w:rsidRDefault="00D53447" w:rsidP="00D53447">
      <w:pPr>
        <w:pStyle w:val="RAN4H1"/>
        <w:rPr>
          <w:lang w:val="en-US"/>
        </w:rPr>
      </w:pPr>
      <w:r w:rsidRPr="4CF99B53">
        <w:rPr>
          <w:lang w:val="en-US"/>
        </w:rPr>
        <w:t>Conclusion</w:t>
      </w:r>
    </w:p>
    <w:p w14:paraId="63C5B797" w14:textId="62782F1A" w:rsidR="00D53447" w:rsidRDefault="00D53447" w:rsidP="00D53447">
      <w:r>
        <w:t>In this contribution,</w:t>
      </w:r>
      <w:r w:rsidR="740D4574">
        <w:t xml:space="preserve"> t</w:t>
      </w:r>
      <w:r>
        <w:t xml:space="preserve">he following observation and proposal are presented: </w:t>
      </w:r>
    </w:p>
    <w:p w14:paraId="4FEEB8D3" w14:textId="77777777" w:rsidR="000129C9" w:rsidRDefault="000129C9" w:rsidP="000129C9">
      <w:r>
        <w:rPr>
          <w:b/>
          <w:bCs/>
        </w:rPr>
        <w:t>Observation</w:t>
      </w:r>
      <w:r w:rsidRPr="1DE50A26">
        <w:rPr>
          <w:b/>
          <w:bCs/>
        </w:rPr>
        <w:t xml:space="preserve"> 1:</w:t>
      </w:r>
      <w:r>
        <w:t xml:space="preserve"> The EIRP relaxations are used in UL CA requirements (on two different CC for inter-band UL CA) in the consideration of the UE spherical coverage and the performance of UE in TS 38.101-2. Similar studies are also needed for multi-panels, multi streams UE design for same CC or different CC use cases in FR2. </w:t>
      </w:r>
    </w:p>
    <w:p w14:paraId="5F1B23E3" w14:textId="77777777" w:rsidR="000129C9" w:rsidRDefault="000129C9" w:rsidP="000129C9">
      <w:r w:rsidRPr="2C6FEA85">
        <w:rPr>
          <w:b/>
          <w:bCs/>
        </w:rPr>
        <w:t>Proposal 1</w:t>
      </w:r>
      <w:r>
        <w:t>: If the UE RF architecture scope is limited to a scenario where the 2 active Tx chains are associated to 2 different panels (</w:t>
      </w:r>
      <w:proofErr w:type="gramStart"/>
      <w:r>
        <w:t>i.e.</w:t>
      </w:r>
      <w:proofErr w:type="gramEnd"/>
      <w:r>
        <w:t xml:space="preserve"> 2 independent antenna modules), then no relaxations should be introduced for Rel-18 UL MIMO operations.</w:t>
      </w:r>
    </w:p>
    <w:p w14:paraId="6ED8F569" w14:textId="3C787480" w:rsidR="001C454E" w:rsidRDefault="001C454E" w:rsidP="72DBDD5F"/>
    <w:p w14:paraId="7BB019C6" w14:textId="77777777" w:rsidR="003B659E" w:rsidRPr="0080728C" w:rsidRDefault="003B659E" w:rsidP="005C23A4">
      <w:pPr>
        <w:pStyle w:val="RAN4H1"/>
        <w:numPr>
          <w:ilvl w:val="0"/>
          <w:numId w:val="0"/>
        </w:numPr>
        <w:ind w:left="360" w:hanging="360"/>
        <w:rPr>
          <w:lang w:val="en-US"/>
        </w:rPr>
      </w:pPr>
      <w:bookmarkStart w:id="6" w:name="_Toc116995849"/>
      <w:bookmarkEnd w:id="5"/>
      <w:r w:rsidRPr="0080728C">
        <w:rPr>
          <w:lang w:val="en-US"/>
        </w:rPr>
        <w:t>References</w:t>
      </w:r>
      <w:bookmarkEnd w:id="6"/>
    </w:p>
    <w:p w14:paraId="7C02C7DB" w14:textId="531ADECB" w:rsidR="00C77BF7" w:rsidRPr="0080728C" w:rsidRDefault="00300E24" w:rsidP="00F334F2">
      <w:pPr>
        <w:pStyle w:val="ListParagraph"/>
        <w:numPr>
          <w:ilvl w:val="0"/>
          <w:numId w:val="18"/>
        </w:numPr>
        <w:ind w:right="-22"/>
      </w:pPr>
      <w:bookmarkStart w:id="7" w:name="_Ref114500673"/>
      <w:bookmarkStart w:id="8" w:name="_Ref117252489"/>
      <w:bookmarkEnd w:id="7"/>
      <w:r w:rsidRPr="00300E24">
        <w:t>RP-213598</w:t>
      </w:r>
      <w:r w:rsidR="00C77BF7" w:rsidRPr="0080728C">
        <w:t>, “New WID: MIMO Evolution for Downlink and Uplink”, Samsung</w:t>
      </w:r>
      <w:bookmarkEnd w:id="8"/>
    </w:p>
    <w:p w14:paraId="495F76A8" w14:textId="2F4FB9BF" w:rsidR="00C77BF7" w:rsidRPr="0080728C" w:rsidRDefault="00300E24" w:rsidP="00F334F2">
      <w:pPr>
        <w:pStyle w:val="ListParagraph"/>
        <w:numPr>
          <w:ilvl w:val="0"/>
          <w:numId w:val="18"/>
        </w:numPr>
        <w:ind w:right="-22"/>
      </w:pPr>
      <w:r w:rsidRPr="00300E24">
        <w:t>R1-</w:t>
      </w:r>
      <w:r w:rsidR="004E7D2E" w:rsidRPr="004E7D2E">
        <w:t>2212065</w:t>
      </w:r>
      <w:r>
        <w:t xml:space="preserve">, </w:t>
      </w:r>
      <w:r w:rsidR="0053077E" w:rsidRPr="0080728C">
        <w:t>“</w:t>
      </w:r>
      <w:r w:rsidRPr="00300E24">
        <w:t xml:space="preserve">Reply to LS on UE power limitation for </w:t>
      </w:r>
      <w:proofErr w:type="spellStart"/>
      <w:r w:rsidRPr="00300E24">
        <w:t>STxMP</w:t>
      </w:r>
      <w:proofErr w:type="spellEnd"/>
      <w:r w:rsidRPr="00300E24">
        <w:t xml:space="preserve"> in FR2 (R1-2205639)</w:t>
      </w:r>
      <w:r w:rsidRPr="0080728C">
        <w:t>,</w:t>
      </w:r>
      <w:r w:rsidR="0053077E" w:rsidRPr="0080728C">
        <w:t>”, RAN1</w:t>
      </w:r>
    </w:p>
    <w:p w14:paraId="7F5393E4" w14:textId="77777777" w:rsidR="000040DC" w:rsidRPr="000040DC" w:rsidRDefault="000040DC" w:rsidP="000040DC">
      <w:pPr>
        <w:ind w:right="-22"/>
        <w:rPr>
          <w:highlight w:val="yellow"/>
        </w:rPr>
      </w:pPr>
    </w:p>
    <w:sectPr w:rsidR="000040DC" w:rsidRPr="000040DC" w:rsidSect="00806A76">
      <w:headerReference w:type="even" r:id="rId14"/>
      <w:headerReference w:type="default" r:id="rId15"/>
      <w:footerReference w:type="even" r:id="rId16"/>
      <w:footerReference w:type="default" r:id="rId17"/>
      <w:headerReference w:type="first" r:id="rId18"/>
      <w:footerReference w:type="first" r:id="rId1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651FD" w14:textId="77777777" w:rsidR="00593CB8" w:rsidRDefault="00593CB8" w:rsidP="00001C9B">
      <w:pPr>
        <w:spacing w:after="0" w:line="240" w:lineRule="auto"/>
      </w:pPr>
      <w:r>
        <w:separator/>
      </w:r>
    </w:p>
  </w:endnote>
  <w:endnote w:type="continuationSeparator" w:id="0">
    <w:p w14:paraId="5060A3D1" w14:textId="77777777" w:rsidR="00593CB8" w:rsidRDefault="00593CB8" w:rsidP="00001C9B">
      <w:pPr>
        <w:spacing w:after="0" w:line="240" w:lineRule="auto"/>
      </w:pPr>
      <w:r>
        <w:continuationSeparator/>
      </w:r>
    </w:p>
  </w:endnote>
  <w:endnote w:type="continuationNotice" w:id="1">
    <w:p w14:paraId="1AB1E0A9" w14:textId="77777777" w:rsidR="00593CB8" w:rsidRDefault="00593C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quot;Times New Roman&quot;,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DLaM Display">
    <w:charset w:val="00"/>
    <w:family w:val="auto"/>
    <w:pitch w:val="variable"/>
    <w:sig w:usb0="80002003" w:usb1="42000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96D01" w14:textId="77777777" w:rsidR="00706612" w:rsidRDefault="007066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E4BB9" w14:textId="77777777" w:rsidR="00706612" w:rsidRDefault="007066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BF29B" w14:textId="77777777" w:rsidR="00706612" w:rsidRDefault="007066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EB142" w14:textId="77777777" w:rsidR="00593CB8" w:rsidRDefault="00593CB8" w:rsidP="00001C9B">
      <w:pPr>
        <w:spacing w:after="0" w:line="240" w:lineRule="auto"/>
      </w:pPr>
      <w:r>
        <w:separator/>
      </w:r>
    </w:p>
  </w:footnote>
  <w:footnote w:type="continuationSeparator" w:id="0">
    <w:p w14:paraId="7AE85593" w14:textId="77777777" w:rsidR="00593CB8" w:rsidRDefault="00593CB8" w:rsidP="00001C9B">
      <w:pPr>
        <w:spacing w:after="0" w:line="240" w:lineRule="auto"/>
      </w:pPr>
      <w:r>
        <w:continuationSeparator/>
      </w:r>
    </w:p>
  </w:footnote>
  <w:footnote w:type="continuationNotice" w:id="1">
    <w:p w14:paraId="1B2A7E9C" w14:textId="77777777" w:rsidR="00593CB8" w:rsidRDefault="00593C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A1FA0" w14:textId="77777777" w:rsidR="00706612" w:rsidRDefault="007066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53C2F" w14:textId="77777777" w:rsidR="00706612" w:rsidRDefault="007066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AB356" w14:textId="77777777" w:rsidR="00706612" w:rsidRDefault="007066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475599"/>
    <w:multiLevelType w:val="hybridMultilevel"/>
    <w:tmpl w:val="3BDA8E74"/>
    <w:lvl w:ilvl="0" w:tplc="7CB4A172">
      <w:start w:val="1"/>
      <w:numFmt w:val="bullet"/>
      <w:lvlText w:val="-"/>
      <w:lvlJc w:val="left"/>
      <w:pPr>
        <w:ind w:left="720" w:hanging="360"/>
      </w:pPr>
      <w:rPr>
        <w:rFonts w:ascii="&quot;Times New Roman&quot;,serif" w:hAnsi="&quot;Times New Roman&quot;,serif" w:hint="default"/>
      </w:rPr>
    </w:lvl>
    <w:lvl w:ilvl="1" w:tplc="2A3463B4">
      <w:start w:val="1"/>
      <w:numFmt w:val="bullet"/>
      <w:lvlText w:val="o"/>
      <w:lvlJc w:val="left"/>
      <w:pPr>
        <w:ind w:left="1440" w:hanging="360"/>
      </w:pPr>
      <w:rPr>
        <w:rFonts w:ascii="Courier New" w:hAnsi="Courier New" w:hint="default"/>
      </w:rPr>
    </w:lvl>
    <w:lvl w:ilvl="2" w:tplc="6C080934">
      <w:start w:val="1"/>
      <w:numFmt w:val="bullet"/>
      <w:lvlText w:val=""/>
      <w:lvlJc w:val="left"/>
      <w:pPr>
        <w:ind w:left="2160" w:hanging="360"/>
      </w:pPr>
      <w:rPr>
        <w:rFonts w:ascii="Wingdings" w:hAnsi="Wingdings" w:hint="default"/>
      </w:rPr>
    </w:lvl>
    <w:lvl w:ilvl="3" w:tplc="8B00FBB6">
      <w:start w:val="1"/>
      <w:numFmt w:val="bullet"/>
      <w:lvlText w:val=""/>
      <w:lvlJc w:val="left"/>
      <w:pPr>
        <w:ind w:left="2880" w:hanging="360"/>
      </w:pPr>
      <w:rPr>
        <w:rFonts w:ascii="Symbol" w:hAnsi="Symbol" w:hint="default"/>
      </w:rPr>
    </w:lvl>
    <w:lvl w:ilvl="4" w:tplc="2C506208">
      <w:start w:val="1"/>
      <w:numFmt w:val="bullet"/>
      <w:lvlText w:val="o"/>
      <w:lvlJc w:val="left"/>
      <w:pPr>
        <w:ind w:left="3600" w:hanging="360"/>
      </w:pPr>
      <w:rPr>
        <w:rFonts w:ascii="Courier New" w:hAnsi="Courier New" w:hint="default"/>
      </w:rPr>
    </w:lvl>
    <w:lvl w:ilvl="5" w:tplc="62B63CEA">
      <w:start w:val="1"/>
      <w:numFmt w:val="bullet"/>
      <w:lvlText w:val=""/>
      <w:lvlJc w:val="left"/>
      <w:pPr>
        <w:ind w:left="4320" w:hanging="360"/>
      </w:pPr>
      <w:rPr>
        <w:rFonts w:ascii="Wingdings" w:hAnsi="Wingdings" w:hint="default"/>
      </w:rPr>
    </w:lvl>
    <w:lvl w:ilvl="6" w:tplc="5A0CFA70">
      <w:start w:val="1"/>
      <w:numFmt w:val="bullet"/>
      <w:lvlText w:val=""/>
      <w:lvlJc w:val="left"/>
      <w:pPr>
        <w:ind w:left="5040" w:hanging="360"/>
      </w:pPr>
      <w:rPr>
        <w:rFonts w:ascii="Symbol" w:hAnsi="Symbol" w:hint="default"/>
      </w:rPr>
    </w:lvl>
    <w:lvl w:ilvl="7" w:tplc="3A5C5E14">
      <w:start w:val="1"/>
      <w:numFmt w:val="bullet"/>
      <w:lvlText w:val="o"/>
      <w:lvlJc w:val="left"/>
      <w:pPr>
        <w:ind w:left="5760" w:hanging="360"/>
      </w:pPr>
      <w:rPr>
        <w:rFonts w:ascii="Courier New" w:hAnsi="Courier New" w:hint="default"/>
      </w:rPr>
    </w:lvl>
    <w:lvl w:ilvl="8" w:tplc="8C94B138">
      <w:start w:val="1"/>
      <w:numFmt w:val="bullet"/>
      <w:lvlText w:val=""/>
      <w:lvlJc w:val="left"/>
      <w:pPr>
        <w:ind w:left="6480" w:hanging="360"/>
      </w:pPr>
      <w:rPr>
        <w:rFonts w:ascii="Wingdings" w:hAnsi="Wingdings" w:hint="default"/>
      </w:rPr>
    </w:lvl>
  </w:abstractNum>
  <w:abstractNum w:abstractNumId="2" w15:restartNumberingAfterBreak="0">
    <w:nsid w:val="0ABB4B33"/>
    <w:multiLevelType w:val="hybridMultilevel"/>
    <w:tmpl w:val="8654DC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6EC6FE"/>
    <w:multiLevelType w:val="hybridMultilevel"/>
    <w:tmpl w:val="BC8A7A88"/>
    <w:lvl w:ilvl="0" w:tplc="5776AA14">
      <w:start w:val="1"/>
      <w:numFmt w:val="decimal"/>
      <w:lvlText w:val="%1."/>
      <w:lvlJc w:val="left"/>
      <w:pPr>
        <w:ind w:left="720" w:hanging="360"/>
      </w:pPr>
    </w:lvl>
    <w:lvl w:ilvl="1" w:tplc="317A76D4">
      <w:start w:val="1"/>
      <w:numFmt w:val="bullet"/>
      <w:lvlText w:val="o"/>
      <w:lvlJc w:val="left"/>
      <w:pPr>
        <w:ind w:left="1440" w:hanging="360"/>
      </w:pPr>
      <w:rPr>
        <w:rFonts w:ascii="&quot;Courier New&quot;" w:hAnsi="&quot;Courier New&quot;" w:hint="default"/>
      </w:rPr>
    </w:lvl>
    <w:lvl w:ilvl="2" w:tplc="33E2ECFA">
      <w:start w:val="1"/>
      <w:numFmt w:val="decimal"/>
      <w:lvlText w:val="%3."/>
      <w:lvlJc w:val="left"/>
      <w:pPr>
        <w:ind w:left="2160" w:hanging="180"/>
      </w:pPr>
    </w:lvl>
    <w:lvl w:ilvl="3" w:tplc="D5104E66">
      <w:start w:val="1"/>
      <w:numFmt w:val="decimal"/>
      <w:lvlText w:val="%4."/>
      <w:lvlJc w:val="left"/>
      <w:pPr>
        <w:ind w:left="2880" w:hanging="360"/>
      </w:pPr>
    </w:lvl>
    <w:lvl w:ilvl="4" w:tplc="FF9208F8">
      <w:start w:val="1"/>
      <w:numFmt w:val="lowerLetter"/>
      <w:lvlText w:val="%5."/>
      <w:lvlJc w:val="left"/>
      <w:pPr>
        <w:ind w:left="3600" w:hanging="360"/>
      </w:pPr>
    </w:lvl>
    <w:lvl w:ilvl="5" w:tplc="715071AC">
      <w:start w:val="1"/>
      <w:numFmt w:val="lowerRoman"/>
      <w:lvlText w:val="%6."/>
      <w:lvlJc w:val="right"/>
      <w:pPr>
        <w:ind w:left="4320" w:hanging="180"/>
      </w:pPr>
    </w:lvl>
    <w:lvl w:ilvl="6" w:tplc="700E4FC4">
      <w:start w:val="1"/>
      <w:numFmt w:val="decimal"/>
      <w:lvlText w:val="%7."/>
      <w:lvlJc w:val="left"/>
      <w:pPr>
        <w:ind w:left="5040" w:hanging="360"/>
      </w:pPr>
    </w:lvl>
    <w:lvl w:ilvl="7" w:tplc="A030C85E">
      <w:start w:val="1"/>
      <w:numFmt w:val="lowerLetter"/>
      <w:lvlText w:val="%8."/>
      <w:lvlJc w:val="left"/>
      <w:pPr>
        <w:ind w:left="5760" w:hanging="360"/>
      </w:pPr>
    </w:lvl>
    <w:lvl w:ilvl="8" w:tplc="755E2EFE">
      <w:start w:val="1"/>
      <w:numFmt w:val="lowerRoman"/>
      <w:lvlText w:val="%9."/>
      <w:lvlJc w:val="right"/>
      <w:pPr>
        <w:ind w:left="6480" w:hanging="180"/>
      </w:pPr>
    </w:lvl>
  </w:abstractNum>
  <w:abstractNum w:abstractNumId="4" w15:restartNumberingAfterBreak="0">
    <w:nsid w:val="18B62CEF"/>
    <w:multiLevelType w:val="hybridMultilevel"/>
    <w:tmpl w:val="F10E57B6"/>
    <w:lvl w:ilvl="0" w:tplc="4378A7D2">
      <w:start w:val="1"/>
      <w:numFmt w:val="decimal"/>
      <w:lvlText w:val="%1."/>
      <w:lvlJc w:val="left"/>
      <w:pPr>
        <w:ind w:left="360" w:hanging="360"/>
      </w:pPr>
    </w:lvl>
    <w:lvl w:ilvl="1" w:tplc="9C865F4A">
      <w:start w:val="1"/>
      <w:numFmt w:val="lowerLetter"/>
      <w:lvlText w:val="%2."/>
      <w:lvlJc w:val="left"/>
      <w:pPr>
        <w:ind w:left="1080" w:hanging="360"/>
      </w:pPr>
    </w:lvl>
    <w:lvl w:ilvl="2" w:tplc="F8F44C34">
      <w:start w:val="1"/>
      <w:numFmt w:val="lowerRoman"/>
      <w:lvlText w:val="%3."/>
      <w:lvlJc w:val="right"/>
      <w:pPr>
        <w:ind w:left="1800" w:hanging="180"/>
      </w:pPr>
    </w:lvl>
    <w:lvl w:ilvl="3" w:tplc="C5BAEBD6">
      <w:start w:val="1"/>
      <w:numFmt w:val="decimal"/>
      <w:lvlText w:val="%4."/>
      <w:lvlJc w:val="left"/>
      <w:pPr>
        <w:ind w:left="2520" w:hanging="360"/>
      </w:pPr>
    </w:lvl>
    <w:lvl w:ilvl="4" w:tplc="2A964232">
      <w:start w:val="1"/>
      <w:numFmt w:val="lowerLetter"/>
      <w:lvlText w:val="%5."/>
      <w:lvlJc w:val="left"/>
      <w:pPr>
        <w:ind w:left="3240" w:hanging="360"/>
      </w:pPr>
    </w:lvl>
    <w:lvl w:ilvl="5" w:tplc="03AE9BC6">
      <w:start w:val="1"/>
      <w:numFmt w:val="lowerRoman"/>
      <w:lvlText w:val="%6."/>
      <w:lvlJc w:val="right"/>
      <w:pPr>
        <w:ind w:left="3960" w:hanging="180"/>
      </w:pPr>
    </w:lvl>
    <w:lvl w:ilvl="6" w:tplc="71BC9DF4">
      <w:start w:val="1"/>
      <w:numFmt w:val="decimal"/>
      <w:lvlText w:val="%7."/>
      <w:lvlJc w:val="left"/>
      <w:pPr>
        <w:ind w:left="4680" w:hanging="360"/>
      </w:pPr>
    </w:lvl>
    <w:lvl w:ilvl="7" w:tplc="49803998">
      <w:start w:val="1"/>
      <w:numFmt w:val="lowerLetter"/>
      <w:lvlText w:val="%8."/>
      <w:lvlJc w:val="left"/>
      <w:pPr>
        <w:ind w:left="5400" w:hanging="360"/>
      </w:pPr>
    </w:lvl>
    <w:lvl w:ilvl="8" w:tplc="E634E3BA">
      <w:start w:val="1"/>
      <w:numFmt w:val="lowerRoman"/>
      <w:lvlText w:val="%9."/>
      <w:lvlJc w:val="right"/>
      <w:pPr>
        <w:ind w:left="6120" w:hanging="180"/>
      </w:pPr>
    </w:lvl>
  </w:abstractNum>
  <w:abstractNum w:abstractNumId="5" w15:restartNumberingAfterBreak="0">
    <w:nsid w:val="2550CAA1"/>
    <w:multiLevelType w:val="hybridMultilevel"/>
    <w:tmpl w:val="6584006E"/>
    <w:lvl w:ilvl="0" w:tplc="ED300BD2">
      <w:start w:val="1"/>
      <w:numFmt w:val="bullet"/>
      <w:lvlText w:val="·"/>
      <w:lvlJc w:val="left"/>
      <w:pPr>
        <w:ind w:left="720" w:hanging="360"/>
      </w:pPr>
      <w:rPr>
        <w:rFonts w:ascii="Symbol" w:hAnsi="Symbol" w:hint="default"/>
      </w:rPr>
    </w:lvl>
    <w:lvl w:ilvl="1" w:tplc="C242FFE2">
      <w:start w:val="1"/>
      <w:numFmt w:val="bullet"/>
      <w:lvlText w:val="o"/>
      <w:lvlJc w:val="left"/>
      <w:pPr>
        <w:ind w:left="1440" w:hanging="360"/>
      </w:pPr>
      <w:rPr>
        <w:rFonts w:ascii="Courier New" w:hAnsi="Courier New" w:hint="default"/>
      </w:rPr>
    </w:lvl>
    <w:lvl w:ilvl="2" w:tplc="419C7620">
      <w:start w:val="1"/>
      <w:numFmt w:val="bullet"/>
      <w:lvlText w:val=""/>
      <w:lvlJc w:val="left"/>
      <w:pPr>
        <w:ind w:left="2160" w:hanging="360"/>
      </w:pPr>
      <w:rPr>
        <w:rFonts w:ascii="Wingdings" w:hAnsi="Wingdings" w:hint="default"/>
      </w:rPr>
    </w:lvl>
    <w:lvl w:ilvl="3" w:tplc="23D0283C">
      <w:start w:val="1"/>
      <w:numFmt w:val="bullet"/>
      <w:lvlText w:val=""/>
      <w:lvlJc w:val="left"/>
      <w:pPr>
        <w:ind w:left="2880" w:hanging="360"/>
      </w:pPr>
      <w:rPr>
        <w:rFonts w:ascii="Symbol" w:hAnsi="Symbol" w:hint="default"/>
      </w:rPr>
    </w:lvl>
    <w:lvl w:ilvl="4" w:tplc="FC362700">
      <w:start w:val="1"/>
      <w:numFmt w:val="bullet"/>
      <w:lvlText w:val="o"/>
      <w:lvlJc w:val="left"/>
      <w:pPr>
        <w:ind w:left="3600" w:hanging="360"/>
      </w:pPr>
      <w:rPr>
        <w:rFonts w:ascii="Courier New" w:hAnsi="Courier New" w:hint="default"/>
      </w:rPr>
    </w:lvl>
    <w:lvl w:ilvl="5" w:tplc="A2C2763C">
      <w:start w:val="1"/>
      <w:numFmt w:val="bullet"/>
      <w:lvlText w:val=""/>
      <w:lvlJc w:val="left"/>
      <w:pPr>
        <w:ind w:left="4320" w:hanging="360"/>
      </w:pPr>
      <w:rPr>
        <w:rFonts w:ascii="Wingdings" w:hAnsi="Wingdings" w:hint="default"/>
      </w:rPr>
    </w:lvl>
    <w:lvl w:ilvl="6" w:tplc="35AC620A">
      <w:start w:val="1"/>
      <w:numFmt w:val="bullet"/>
      <w:lvlText w:val=""/>
      <w:lvlJc w:val="left"/>
      <w:pPr>
        <w:ind w:left="5040" w:hanging="360"/>
      </w:pPr>
      <w:rPr>
        <w:rFonts w:ascii="Symbol" w:hAnsi="Symbol" w:hint="default"/>
      </w:rPr>
    </w:lvl>
    <w:lvl w:ilvl="7" w:tplc="AC92FEF0">
      <w:start w:val="1"/>
      <w:numFmt w:val="bullet"/>
      <w:lvlText w:val="o"/>
      <w:lvlJc w:val="left"/>
      <w:pPr>
        <w:ind w:left="5760" w:hanging="360"/>
      </w:pPr>
      <w:rPr>
        <w:rFonts w:ascii="Courier New" w:hAnsi="Courier New" w:hint="default"/>
      </w:rPr>
    </w:lvl>
    <w:lvl w:ilvl="8" w:tplc="F496CB2E">
      <w:start w:val="1"/>
      <w:numFmt w:val="bullet"/>
      <w:lvlText w:val=""/>
      <w:lvlJc w:val="left"/>
      <w:pPr>
        <w:ind w:left="6480" w:hanging="360"/>
      </w:pPr>
      <w:rPr>
        <w:rFonts w:ascii="Wingdings" w:hAnsi="Wingdings" w:hint="default"/>
      </w:rPr>
    </w:lvl>
  </w:abstractNum>
  <w:abstractNum w:abstractNumId="6" w15:restartNumberingAfterBreak="0">
    <w:nsid w:val="39B61131"/>
    <w:multiLevelType w:val="hybridMultilevel"/>
    <w:tmpl w:val="954E7A90"/>
    <w:lvl w:ilvl="0" w:tplc="48D450E4">
      <w:start w:val="1"/>
      <w:numFmt w:val="decimal"/>
      <w:lvlText w:val="%1."/>
      <w:lvlJc w:val="left"/>
      <w:pPr>
        <w:ind w:left="720" w:hanging="360"/>
      </w:pPr>
    </w:lvl>
    <w:lvl w:ilvl="1" w:tplc="CB0C0C92">
      <w:start w:val="1"/>
      <w:numFmt w:val="lowerLetter"/>
      <w:lvlText w:val="%2."/>
      <w:lvlJc w:val="left"/>
      <w:pPr>
        <w:ind w:left="1440" w:hanging="360"/>
      </w:pPr>
    </w:lvl>
    <w:lvl w:ilvl="2" w:tplc="81E255DE">
      <w:start w:val="1"/>
      <w:numFmt w:val="lowerRoman"/>
      <w:lvlText w:val="%3."/>
      <w:lvlJc w:val="right"/>
      <w:pPr>
        <w:ind w:left="2160" w:hanging="180"/>
      </w:pPr>
    </w:lvl>
    <w:lvl w:ilvl="3" w:tplc="96D4DF76">
      <w:start w:val="1"/>
      <w:numFmt w:val="decimal"/>
      <w:lvlText w:val="%4."/>
      <w:lvlJc w:val="left"/>
      <w:pPr>
        <w:ind w:left="2880" w:hanging="360"/>
      </w:pPr>
    </w:lvl>
    <w:lvl w:ilvl="4" w:tplc="57E439CC">
      <w:start w:val="1"/>
      <w:numFmt w:val="lowerLetter"/>
      <w:lvlText w:val="%5."/>
      <w:lvlJc w:val="left"/>
      <w:pPr>
        <w:ind w:left="3600" w:hanging="360"/>
      </w:pPr>
    </w:lvl>
    <w:lvl w:ilvl="5" w:tplc="A294B9C8">
      <w:start w:val="1"/>
      <w:numFmt w:val="lowerRoman"/>
      <w:lvlText w:val="%6."/>
      <w:lvlJc w:val="right"/>
      <w:pPr>
        <w:ind w:left="4320" w:hanging="180"/>
      </w:pPr>
    </w:lvl>
    <w:lvl w:ilvl="6" w:tplc="B198C512">
      <w:start w:val="1"/>
      <w:numFmt w:val="decimal"/>
      <w:lvlText w:val="%7."/>
      <w:lvlJc w:val="left"/>
      <w:pPr>
        <w:ind w:left="5040" w:hanging="360"/>
      </w:pPr>
    </w:lvl>
    <w:lvl w:ilvl="7" w:tplc="D0B8BDDC">
      <w:start w:val="1"/>
      <w:numFmt w:val="lowerLetter"/>
      <w:lvlText w:val="%8."/>
      <w:lvlJc w:val="left"/>
      <w:pPr>
        <w:ind w:left="5760" w:hanging="360"/>
      </w:pPr>
    </w:lvl>
    <w:lvl w:ilvl="8" w:tplc="4BEE49DE">
      <w:start w:val="1"/>
      <w:numFmt w:val="lowerRoman"/>
      <w:lvlText w:val="%9."/>
      <w:lvlJc w:val="right"/>
      <w:pPr>
        <w:ind w:left="6480" w:hanging="180"/>
      </w:pPr>
    </w:lvl>
  </w:abstractNum>
  <w:abstractNum w:abstractNumId="7" w15:restartNumberingAfterBreak="0">
    <w:nsid w:val="3CEE3886"/>
    <w:multiLevelType w:val="hybridMultilevel"/>
    <w:tmpl w:val="EF786CEC"/>
    <w:lvl w:ilvl="0" w:tplc="05CE1776">
      <w:start w:val="1"/>
      <w:numFmt w:val="decimal"/>
      <w:lvlText w:val="%1."/>
      <w:lvlJc w:val="left"/>
      <w:pPr>
        <w:ind w:left="720" w:hanging="360"/>
      </w:pPr>
    </w:lvl>
    <w:lvl w:ilvl="1" w:tplc="6BEE2C14">
      <w:start w:val="1"/>
      <w:numFmt w:val="lowerLetter"/>
      <w:lvlText w:val="%2."/>
      <w:lvlJc w:val="left"/>
      <w:pPr>
        <w:ind w:left="1440" w:hanging="360"/>
      </w:pPr>
    </w:lvl>
    <w:lvl w:ilvl="2" w:tplc="84AC1B1E">
      <w:start w:val="1"/>
      <w:numFmt w:val="lowerRoman"/>
      <w:lvlText w:val="%3."/>
      <w:lvlJc w:val="right"/>
      <w:pPr>
        <w:ind w:left="2160" w:hanging="180"/>
      </w:pPr>
    </w:lvl>
    <w:lvl w:ilvl="3" w:tplc="BCFE0662">
      <w:start w:val="1"/>
      <w:numFmt w:val="decimal"/>
      <w:lvlText w:val="%4."/>
      <w:lvlJc w:val="left"/>
      <w:pPr>
        <w:ind w:left="2880" w:hanging="360"/>
      </w:pPr>
    </w:lvl>
    <w:lvl w:ilvl="4" w:tplc="5FD4BF02">
      <w:start w:val="1"/>
      <w:numFmt w:val="lowerLetter"/>
      <w:lvlText w:val="%5."/>
      <w:lvlJc w:val="left"/>
      <w:pPr>
        <w:ind w:left="3600" w:hanging="360"/>
      </w:pPr>
    </w:lvl>
    <w:lvl w:ilvl="5" w:tplc="2D268C2E">
      <w:start w:val="1"/>
      <w:numFmt w:val="lowerRoman"/>
      <w:lvlText w:val="%6."/>
      <w:lvlJc w:val="right"/>
      <w:pPr>
        <w:ind w:left="4320" w:hanging="180"/>
      </w:pPr>
    </w:lvl>
    <w:lvl w:ilvl="6" w:tplc="21A4F198">
      <w:start w:val="1"/>
      <w:numFmt w:val="decimal"/>
      <w:lvlText w:val="%7."/>
      <w:lvlJc w:val="left"/>
      <w:pPr>
        <w:ind w:left="5040" w:hanging="360"/>
      </w:pPr>
    </w:lvl>
    <w:lvl w:ilvl="7" w:tplc="0FE4EE12">
      <w:start w:val="1"/>
      <w:numFmt w:val="lowerLetter"/>
      <w:lvlText w:val="%8."/>
      <w:lvlJc w:val="left"/>
      <w:pPr>
        <w:ind w:left="5760" w:hanging="360"/>
      </w:pPr>
    </w:lvl>
    <w:lvl w:ilvl="8" w:tplc="CC94DCA4">
      <w:start w:val="1"/>
      <w:numFmt w:val="lowerRoman"/>
      <w:lvlText w:val="%9."/>
      <w:lvlJc w:val="right"/>
      <w:pPr>
        <w:ind w:left="6480" w:hanging="180"/>
      </w:pPr>
    </w:lvl>
  </w:abstractNum>
  <w:abstractNum w:abstractNumId="8" w15:restartNumberingAfterBreak="0">
    <w:nsid w:val="3F410309"/>
    <w:multiLevelType w:val="hybridMultilevel"/>
    <w:tmpl w:val="C79C3BD0"/>
    <w:lvl w:ilvl="0" w:tplc="2D3E0486">
      <w:start w:val="1"/>
      <w:numFmt w:val="bullet"/>
      <w:lvlText w:val=""/>
      <w:lvlJc w:val="left"/>
      <w:pPr>
        <w:ind w:left="360" w:hanging="360"/>
      </w:pPr>
      <w:rPr>
        <w:rFonts w:ascii="Symbol" w:hAnsi="Symbol" w:hint="default"/>
      </w:rPr>
    </w:lvl>
    <w:lvl w:ilvl="1" w:tplc="003EACBA">
      <w:start w:val="1"/>
      <w:numFmt w:val="bullet"/>
      <w:lvlText w:val="o"/>
      <w:lvlJc w:val="left"/>
      <w:pPr>
        <w:ind w:left="1080" w:hanging="360"/>
      </w:pPr>
      <w:rPr>
        <w:rFonts w:ascii="Courier New" w:hAnsi="Courier New" w:hint="default"/>
      </w:rPr>
    </w:lvl>
    <w:lvl w:ilvl="2" w:tplc="0534F734">
      <w:start w:val="1"/>
      <w:numFmt w:val="bullet"/>
      <w:lvlText w:val=""/>
      <w:lvlJc w:val="left"/>
      <w:pPr>
        <w:ind w:left="1800" w:hanging="360"/>
      </w:pPr>
      <w:rPr>
        <w:rFonts w:ascii="Wingdings" w:hAnsi="Wingdings" w:hint="default"/>
      </w:rPr>
    </w:lvl>
    <w:lvl w:ilvl="3" w:tplc="4F2CCEA8">
      <w:start w:val="1"/>
      <w:numFmt w:val="bullet"/>
      <w:lvlText w:val=""/>
      <w:lvlJc w:val="left"/>
      <w:pPr>
        <w:ind w:left="2520" w:hanging="360"/>
      </w:pPr>
      <w:rPr>
        <w:rFonts w:ascii="Symbol" w:hAnsi="Symbol" w:hint="default"/>
      </w:rPr>
    </w:lvl>
    <w:lvl w:ilvl="4" w:tplc="BA282A96">
      <w:start w:val="1"/>
      <w:numFmt w:val="bullet"/>
      <w:lvlText w:val="o"/>
      <w:lvlJc w:val="left"/>
      <w:pPr>
        <w:ind w:left="3240" w:hanging="360"/>
      </w:pPr>
      <w:rPr>
        <w:rFonts w:ascii="Courier New" w:hAnsi="Courier New" w:hint="default"/>
      </w:rPr>
    </w:lvl>
    <w:lvl w:ilvl="5" w:tplc="00261B9A">
      <w:start w:val="1"/>
      <w:numFmt w:val="bullet"/>
      <w:lvlText w:val=""/>
      <w:lvlJc w:val="left"/>
      <w:pPr>
        <w:ind w:left="3960" w:hanging="360"/>
      </w:pPr>
      <w:rPr>
        <w:rFonts w:ascii="Wingdings" w:hAnsi="Wingdings" w:hint="default"/>
      </w:rPr>
    </w:lvl>
    <w:lvl w:ilvl="6" w:tplc="2A28B54C">
      <w:start w:val="1"/>
      <w:numFmt w:val="bullet"/>
      <w:lvlText w:val=""/>
      <w:lvlJc w:val="left"/>
      <w:pPr>
        <w:ind w:left="4680" w:hanging="360"/>
      </w:pPr>
      <w:rPr>
        <w:rFonts w:ascii="Symbol" w:hAnsi="Symbol" w:hint="default"/>
      </w:rPr>
    </w:lvl>
    <w:lvl w:ilvl="7" w:tplc="CA14ED1E">
      <w:start w:val="1"/>
      <w:numFmt w:val="bullet"/>
      <w:lvlText w:val="o"/>
      <w:lvlJc w:val="left"/>
      <w:pPr>
        <w:ind w:left="5400" w:hanging="360"/>
      </w:pPr>
      <w:rPr>
        <w:rFonts w:ascii="Courier New" w:hAnsi="Courier New" w:hint="default"/>
      </w:rPr>
    </w:lvl>
    <w:lvl w:ilvl="8" w:tplc="47EC7958">
      <w:start w:val="1"/>
      <w:numFmt w:val="bullet"/>
      <w:lvlText w:val=""/>
      <w:lvlJc w:val="left"/>
      <w:pPr>
        <w:ind w:left="6120" w:hanging="360"/>
      </w:pPr>
      <w:rPr>
        <w:rFonts w:ascii="Wingdings" w:hAnsi="Wingdings" w:hint="default"/>
      </w:rPr>
    </w:lvl>
  </w:abstractNum>
  <w:abstractNum w:abstractNumId="9" w15:restartNumberingAfterBreak="0">
    <w:nsid w:val="41228AE8"/>
    <w:multiLevelType w:val="hybridMultilevel"/>
    <w:tmpl w:val="5C581D2E"/>
    <w:lvl w:ilvl="0" w:tplc="04090001">
      <w:start w:val="1"/>
      <w:numFmt w:val="bullet"/>
      <w:lvlText w:val=""/>
      <w:lvlJc w:val="left"/>
      <w:pPr>
        <w:ind w:left="360" w:hanging="360"/>
      </w:pPr>
      <w:rPr>
        <w:rFonts w:ascii="Symbol" w:hAnsi="Symbol" w:hint="default"/>
      </w:rPr>
    </w:lvl>
    <w:lvl w:ilvl="1" w:tplc="A08C844C">
      <w:start w:val="1"/>
      <w:numFmt w:val="lowerLetter"/>
      <w:lvlText w:val="%2."/>
      <w:lvlJc w:val="left"/>
      <w:pPr>
        <w:ind w:left="1080" w:hanging="360"/>
      </w:pPr>
    </w:lvl>
    <w:lvl w:ilvl="2" w:tplc="F1283398">
      <w:start w:val="1"/>
      <w:numFmt w:val="lowerRoman"/>
      <w:lvlText w:val="%3."/>
      <w:lvlJc w:val="right"/>
      <w:pPr>
        <w:ind w:left="1800" w:hanging="180"/>
      </w:pPr>
    </w:lvl>
    <w:lvl w:ilvl="3" w:tplc="FFFFFFFF">
      <w:start w:val="1"/>
      <w:numFmt w:val="bullet"/>
      <w:lvlText w:val=""/>
      <w:lvlJc w:val="left"/>
      <w:pPr>
        <w:ind w:left="2520" w:hanging="360"/>
      </w:pPr>
      <w:rPr>
        <w:rFonts w:ascii="Symbol" w:hAnsi="Symbol" w:hint="default"/>
      </w:rPr>
    </w:lvl>
    <w:lvl w:ilvl="4" w:tplc="C86428D0">
      <w:start w:val="1"/>
      <w:numFmt w:val="lowerLetter"/>
      <w:lvlText w:val="%5."/>
      <w:lvlJc w:val="left"/>
      <w:pPr>
        <w:ind w:left="3240" w:hanging="360"/>
      </w:pPr>
    </w:lvl>
    <w:lvl w:ilvl="5" w:tplc="1D800D1C">
      <w:start w:val="1"/>
      <w:numFmt w:val="lowerRoman"/>
      <w:lvlText w:val="%6."/>
      <w:lvlJc w:val="right"/>
      <w:pPr>
        <w:ind w:left="3960" w:hanging="180"/>
      </w:pPr>
    </w:lvl>
    <w:lvl w:ilvl="6" w:tplc="683E7E7E">
      <w:start w:val="1"/>
      <w:numFmt w:val="decimal"/>
      <w:lvlText w:val="%7."/>
      <w:lvlJc w:val="left"/>
      <w:pPr>
        <w:ind w:left="4680" w:hanging="360"/>
      </w:pPr>
    </w:lvl>
    <w:lvl w:ilvl="7" w:tplc="3AAA1B10">
      <w:start w:val="1"/>
      <w:numFmt w:val="lowerLetter"/>
      <w:lvlText w:val="%8."/>
      <w:lvlJc w:val="left"/>
      <w:pPr>
        <w:ind w:left="5400" w:hanging="360"/>
      </w:pPr>
    </w:lvl>
    <w:lvl w:ilvl="8" w:tplc="8E2E262E">
      <w:start w:val="1"/>
      <w:numFmt w:val="lowerRoman"/>
      <w:lvlText w:val="%9."/>
      <w:lvlJc w:val="right"/>
      <w:pPr>
        <w:ind w:left="6120" w:hanging="180"/>
      </w:pPr>
    </w:lvl>
  </w:abstractNum>
  <w:abstractNum w:abstractNumId="10" w15:restartNumberingAfterBreak="0">
    <w:nsid w:val="44E00F7E"/>
    <w:multiLevelType w:val="hybridMultilevel"/>
    <w:tmpl w:val="E7C87CDE"/>
    <w:lvl w:ilvl="0" w:tplc="7CB4A172">
      <w:start w:val="1"/>
      <w:numFmt w:val="bullet"/>
      <w:lvlText w:val="-"/>
      <w:lvlJc w:val="left"/>
      <w:pPr>
        <w:ind w:left="720" w:hanging="360"/>
      </w:pPr>
      <w:rPr>
        <w:rFonts w:ascii="&quot;Times New Roman&quot;,serif" w:hAnsi="&quot;Times New Roman&quot;,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AD67EB"/>
    <w:multiLevelType w:val="hybridMultilevel"/>
    <w:tmpl w:val="38B03FEC"/>
    <w:lvl w:ilvl="0" w:tplc="9112C4E0">
      <w:start w:val="1"/>
      <w:numFmt w:val="bullet"/>
      <w:lvlText w:val="·"/>
      <w:lvlJc w:val="left"/>
      <w:pPr>
        <w:ind w:left="720" w:hanging="360"/>
      </w:pPr>
      <w:rPr>
        <w:rFonts w:ascii="Symbol" w:hAnsi="Symbol" w:hint="default"/>
      </w:rPr>
    </w:lvl>
    <w:lvl w:ilvl="1" w:tplc="4AB8F4C8">
      <w:start w:val="1"/>
      <w:numFmt w:val="bullet"/>
      <w:lvlText w:val="o"/>
      <w:lvlJc w:val="left"/>
      <w:pPr>
        <w:ind w:left="1440" w:hanging="360"/>
      </w:pPr>
      <w:rPr>
        <w:rFonts w:ascii="Courier New" w:hAnsi="Courier New" w:hint="default"/>
      </w:rPr>
    </w:lvl>
    <w:lvl w:ilvl="2" w:tplc="36FA5C4E">
      <w:start w:val="1"/>
      <w:numFmt w:val="bullet"/>
      <w:lvlText w:val=""/>
      <w:lvlJc w:val="left"/>
      <w:pPr>
        <w:ind w:left="2160" w:hanging="360"/>
      </w:pPr>
      <w:rPr>
        <w:rFonts w:ascii="Wingdings" w:hAnsi="Wingdings" w:hint="default"/>
      </w:rPr>
    </w:lvl>
    <w:lvl w:ilvl="3" w:tplc="A15CEF6C">
      <w:start w:val="1"/>
      <w:numFmt w:val="bullet"/>
      <w:lvlText w:val=""/>
      <w:lvlJc w:val="left"/>
      <w:pPr>
        <w:ind w:left="2880" w:hanging="360"/>
      </w:pPr>
      <w:rPr>
        <w:rFonts w:ascii="Symbol" w:hAnsi="Symbol" w:hint="default"/>
      </w:rPr>
    </w:lvl>
    <w:lvl w:ilvl="4" w:tplc="B6CAFD98">
      <w:start w:val="1"/>
      <w:numFmt w:val="bullet"/>
      <w:lvlText w:val="o"/>
      <w:lvlJc w:val="left"/>
      <w:pPr>
        <w:ind w:left="3600" w:hanging="360"/>
      </w:pPr>
      <w:rPr>
        <w:rFonts w:ascii="Courier New" w:hAnsi="Courier New" w:hint="default"/>
      </w:rPr>
    </w:lvl>
    <w:lvl w:ilvl="5" w:tplc="6E88E552">
      <w:start w:val="1"/>
      <w:numFmt w:val="bullet"/>
      <w:lvlText w:val=""/>
      <w:lvlJc w:val="left"/>
      <w:pPr>
        <w:ind w:left="4320" w:hanging="360"/>
      </w:pPr>
      <w:rPr>
        <w:rFonts w:ascii="Wingdings" w:hAnsi="Wingdings" w:hint="default"/>
      </w:rPr>
    </w:lvl>
    <w:lvl w:ilvl="6" w:tplc="004497E4">
      <w:start w:val="1"/>
      <w:numFmt w:val="bullet"/>
      <w:lvlText w:val=""/>
      <w:lvlJc w:val="left"/>
      <w:pPr>
        <w:ind w:left="5040" w:hanging="360"/>
      </w:pPr>
      <w:rPr>
        <w:rFonts w:ascii="Symbol" w:hAnsi="Symbol" w:hint="default"/>
      </w:rPr>
    </w:lvl>
    <w:lvl w:ilvl="7" w:tplc="8A509BD0">
      <w:start w:val="1"/>
      <w:numFmt w:val="bullet"/>
      <w:lvlText w:val="o"/>
      <w:lvlJc w:val="left"/>
      <w:pPr>
        <w:ind w:left="5760" w:hanging="360"/>
      </w:pPr>
      <w:rPr>
        <w:rFonts w:ascii="Courier New" w:hAnsi="Courier New" w:hint="default"/>
      </w:rPr>
    </w:lvl>
    <w:lvl w:ilvl="8" w:tplc="13EA50FA">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7D03F68"/>
    <w:multiLevelType w:val="hybridMultilevel"/>
    <w:tmpl w:val="4232E4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41E8B"/>
    <w:multiLevelType w:val="hybridMultilevel"/>
    <w:tmpl w:val="115661B2"/>
    <w:lvl w:ilvl="0" w:tplc="7F5A35EA">
      <w:start w:val="1"/>
      <w:numFmt w:val="decimal"/>
      <w:lvlText w:val="%1."/>
      <w:lvlJc w:val="left"/>
      <w:pPr>
        <w:ind w:left="720" w:hanging="360"/>
      </w:pPr>
    </w:lvl>
    <w:lvl w:ilvl="1" w:tplc="D6947C2E">
      <w:start w:val="1"/>
      <w:numFmt w:val="bullet"/>
      <w:lvlText w:val="o"/>
      <w:lvlJc w:val="left"/>
      <w:pPr>
        <w:ind w:left="1440" w:hanging="360"/>
      </w:pPr>
      <w:rPr>
        <w:rFonts w:ascii="&quot;Courier New&quot;" w:hAnsi="&quot;Courier New&quot;" w:hint="default"/>
      </w:rPr>
    </w:lvl>
    <w:lvl w:ilvl="2" w:tplc="51B640D8">
      <w:start w:val="1"/>
      <w:numFmt w:val="lowerRoman"/>
      <w:lvlText w:val="%3."/>
      <w:lvlJc w:val="right"/>
      <w:pPr>
        <w:ind w:left="2160" w:hanging="180"/>
      </w:pPr>
    </w:lvl>
    <w:lvl w:ilvl="3" w:tplc="0A607596">
      <w:start w:val="1"/>
      <w:numFmt w:val="decimal"/>
      <w:lvlText w:val="%4."/>
      <w:lvlJc w:val="left"/>
      <w:pPr>
        <w:ind w:left="2880" w:hanging="360"/>
      </w:pPr>
    </w:lvl>
    <w:lvl w:ilvl="4" w:tplc="60BEDCA0">
      <w:start w:val="1"/>
      <w:numFmt w:val="lowerLetter"/>
      <w:lvlText w:val="%5."/>
      <w:lvlJc w:val="left"/>
      <w:pPr>
        <w:ind w:left="3600" w:hanging="360"/>
      </w:pPr>
    </w:lvl>
    <w:lvl w:ilvl="5" w:tplc="8E5A85F0">
      <w:start w:val="1"/>
      <w:numFmt w:val="lowerRoman"/>
      <w:lvlText w:val="%6."/>
      <w:lvlJc w:val="right"/>
      <w:pPr>
        <w:ind w:left="4320" w:hanging="180"/>
      </w:pPr>
    </w:lvl>
    <w:lvl w:ilvl="6" w:tplc="B002C798">
      <w:start w:val="1"/>
      <w:numFmt w:val="decimal"/>
      <w:lvlText w:val="%7."/>
      <w:lvlJc w:val="left"/>
      <w:pPr>
        <w:ind w:left="5040" w:hanging="360"/>
      </w:pPr>
    </w:lvl>
    <w:lvl w:ilvl="7" w:tplc="AFA26F0C">
      <w:start w:val="1"/>
      <w:numFmt w:val="lowerLetter"/>
      <w:lvlText w:val="%8."/>
      <w:lvlJc w:val="left"/>
      <w:pPr>
        <w:ind w:left="5760" w:hanging="360"/>
      </w:pPr>
    </w:lvl>
    <w:lvl w:ilvl="8" w:tplc="7EA025EE">
      <w:start w:val="1"/>
      <w:numFmt w:val="lowerRoman"/>
      <w:lvlText w:val="%9."/>
      <w:lvlJc w:val="right"/>
      <w:pPr>
        <w:ind w:left="6480" w:hanging="180"/>
      </w:pPr>
    </w:lvl>
  </w:abstractNum>
  <w:abstractNum w:abstractNumId="17" w15:restartNumberingAfterBreak="0">
    <w:nsid w:val="56CDD666"/>
    <w:multiLevelType w:val="hybridMultilevel"/>
    <w:tmpl w:val="8312D1DA"/>
    <w:lvl w:ilvl="0" w:tplc="2EA86968">
      <w:start w:val="1"/>
      <w:numFmt w:val="decimal"/>
      <w:lvlText w:val="%1."/>
      <w:lvlJc w:val="left"/>
      <w:pPr>
        <w:ind w:left="720" w:hanging="360"/>
      </w:pPr>
    </w:lvl>
    <w:lvl w:ilvl="1" w:tplc="5138482E">
      <w:start w:val="1"/>
      <w:numFmt w:val="lowerLetter"/>
      <w:lvlText w:val="%2."/>
      <w:lvlJc w:val="left"/>
      <w:pPr>
        <w:ind w:left="1440" w:hanging="360"/>
      </w:pPr>
    </w:lvl>
    <w:lvl w:ilvl="2" w:tplc="6BBA3584">
      <w:start w:val="1"/>
      <w:numFmt w:val="lowerRoman"/>
      <w:lvlText w:val="%3."/>
      <w:lvlJc w:val="right"/>
      <w:pPr>
        <w:ind w:left="2160" w:hanging="180"/>
      </w:pPr>
    </w:lvl>
    <w:lvl w:ilvl="3" w:tplc="64C65CA2">
      <w:start w:val="1"/>
      <w:numFmt w:val="decimal"/>
      <w:lvlText w:val="%4."/>
      <w:lvlJc w:val="left"/>
      <w:pPr>
        <w:ind w:left="2880" w:hanging="360"/>
      </w:pPr>
    </w:lvl>
    <w:lvl w:ilvl="4" w:tplc="2392ECEC">
      <w:start w:val="1"/>
      <w:numFmt w:val="lowerLetter"/>
      <w:lvlText w:val="%5."/>
      <w:lvlJc w:val="left"/>
      <w:pPr>
        <w:ind w:left="3600" w:hanging="360"/>
      </w:pPr>
    </w:lvl>
    <w:lvl w:ilvl="5" w:tplc="CE9A86D0">
      <w:start w:val="1"/>
      <w:numFmt w:val="lowerRoman"/>
      <w:lvlText w:val="%6."/>
      <w:lvlJc w:val="right"/>
      <w:pPr>
        <w:ind w:left="4320" w:hanging="180"/>
      </w:pPr>
    </w:lvl>
    <w:lvl w:ilvl="6" w:tplc="56C07506">
      <w:start w:val="1"/>
      <w:numFmt w:val="decimal"/>
      <w:lvlText w:val="%7."/>
      <w:lvlJc w:val="left"/>
      <w:pPr>
        <w:ind w:left="5040" w:hanging="360"/>
      </w:pPr>
    </w:lvl>
    <w:lvl w:ilvl="7" w:tplc="C96A783E">
      <w:start w:val="1"/>
      <w:numFmt w:val="lowerLetter"/>
      <w:lvlText w:val="%8."/>
      <w:lvlJc w:val="left"/>
      <w:pPr>
        <w:ind w:left="5760" w:hanging="360"/>
      </w:pPr>
    </w:lvl>
    <w:lvl w:ilvl="8" w:tplc="7C7644FE">
      <w:start w:val="1"/>
      <w:numFmt w:val="lowerRoman"/>
      <w:lvlText w:val="%9."/>
      <w:lvlJc w:val="right"/>
      <w:pPr>
        <w:ind w:left="6480" w:hanging="180"/>
      </w:pPr>
    </w:lvl>
  </w:abstractNum>
  <w:abstractNum w:abstractNumId="18" w15:restartNumberingAfterBreak="0">
    <w:nsid w:val="5706C2DA"/>
    <w:multiLevelType w:val="hybridMultilevel"/>
    <w:tmpl w:val="2474E9B2"/>
    <w:lvl w:ilvl="0" w:tplc="ED1CF68E">
      <w:start w:val="1"/>
      <w:numFmt w:val="bullet"/>
      <w:lvlText w:val=""/>
      <w:lvlJc w:val="left"/>
      <w:pPr>
        <w:ind w:left="720" w:hanging="360"/>
      </w:pPr>
      <w:rPr>
        <w:rFonts w:ascii="Symbol" w:hAnsi="Symbol" w:hint="default"/>
      </w:rPr>
    </w:lvl>
    <w:lvl w:ilvl="1" w:tplc="444A56C6">
      <w:start w:val="1"/>
      <w:numFmt w:val="decimal"/>
      <w:lvlText w:val="%2."/>
      <w:lvlJc w:val="left"/>
      <w:pPr>
        <w:ind w:left="1440" w:hanging="360"/>
      </w:pPr>
    </w:lvl>
    <w:lvl w:ilvl="2" w:tplc="86362E54">
      <w:start w:val="1"/>
      <w:numFmt w:val="bullet"/>
      <w:lvlText w:val=""/>
      <w:lvlJc w:val="left"/>
      <w:pPr>
        <w:ind w:left="2160" w:hanging="360"/>
      </w:pPr>
      <w:rPr>
        <w:rFonts w:ascii="Wingdings" w:hAnsi="Wingdings" w:hint="default"/>
      </w:rPr>
    </w:lvl>
    <w:lvl w:ilvl="3" w:tplc="9A22A6F4">
      <w:start w:val="1"/>
      <w:numFmt w:val="bullet"/>
      <w:lvlText w:val=""/>
      <w:lvlJc w:val="left"/>
      <w:pPr>
        <w:ind w:left="2880" w:hanging="360"/>
      </w:pPr>
      <w:rPr>
        <w:rFonts w:ascii="Symbol" w:hAnsi="Symbol" w:hint="default"/>
      </w:rPr>
    </w:lvl>
    <w:lvl w:ilvl="4" w:tplc="5C8E31B6">
      <w:start w:val="1"/>
      <w:numFmt w:val="bullet"/>
      <w:lvlText w:val="o"/>
      <w:lvlJc w:val="left"/>
      <w:pPr>
        <w:ind w:left="3600" w:hanging="360"/>
      </w:pPr>
      <w:rPr>
        <w:rFonts w:ascii="Courier New" w:hAnsi="Courier New" w:hint="default"/>
      </w:rPr>
    </w:lvl>
    <w:lvl w:ilvl="5" w:tplc="5DD40CE0">
      <w:start w:val="1"/>
      <w:numFmt w:val="bullet"/>
      <w:lvlText w:val=""/>
      <w:lvlJc w:val="left"/>
      <w:pPr>
        <w:ind w:left="4320" w:hanging="360"/>
      </w:pPr>
      <w:rPr>
        <w:rFonts w:ascii="Wingdings" w:hAnsi="Wingdings" w:hint="default"/>
      </w:rPr>
    </w:lvl>
    <w:lvl w:ilvl="6" w:tplc="30F0CC82">
      <w:start w:val="1"/>
      <w:numFmt w:val="bullet"/>
      <w:lvlText w:val=""/>
      <w:lvlJc w:val="left"/>
      <w:pPr>
        <w:ind w:left="5040" w:hanging="360"/>
      </w:pPr>
      <w:rPr>
        <w:rFonts w:ascii="Symbol" w:hAnsi="Symbol" w:hint="default"/>
      </w:rPr>
    </w:lvl>
    <w:lvl w:ilvl="7" w:tplc="5650B390">
      <w:start w:val="1"/>
      <w:numFmt w:val="bullet"/>
      <w:lvlText w:val="o"/>
      <w:lvlJc w:val="left"/>
      <w:pPr>
        <w:ind w:left="5760" w:hanging="360"/>
      </w:pPr>
      <w:rPr>
        <w:rFonts w:ascii="Courier New" w:hAnsi="Courier New" w:hint="default"/>
      </w:rPr>
    </w:lvl>
    <w:lvl w:ilvl="8" w:tplc="3C38B150">
      <w:start w:val="1"/>
      <w:numFmt w:val="bullet"/>
      <w:lvlText w:val=""/>
      <w:lvlJc w:val="left"/>
      <w:pPr>
        <w:ind w:left="6480" w:hanging="360"/>
      </w:pPr>
      <w:rPr>
        <w:rFonts w:ascii="Wingdings" w:hAnsi="Wingdings" w:hint="default"/>
      </w:rPr>
    </w:lvl>
  </w:abstractNum>
  <w:abstractNum w:abstractNumId="19" w15:restartNumberingAfterBreak="0">
    <w:nsid w:val="58C36C21"/>
    <w:multiLevelType w:val="hybridMultilevel"/>
    <w:tmpl w:val="0916F0D0"/>
    <w:lvl w:ilvl="0" w:tplc="EDA8DA5E">
      <w:start w:val="1"/>
      <w:numFmt w:val="decimal"/>
      <w:lvlText w:val="%1."/>
      <w:lvlJc w:val="left"/>
      <w:pPr>
        <w:ind w:left="360" w:hanging="360"/>
      </w:pPr>
    </w:lvl>
    <w:lvl w:ilvl="1" w:tplc="CCC88F1C">
      <w:start w:val="1"/>
      <w:numFmt w:val="lowerLetter"/>
      <w:lvlText w:val="%2."/>
      <w:lvlJc w:val="left"/>
      <w:pPr>
        <w:ind w:left="1080" w:hanging="360"/>
      </w:pPr>
    </w:lvl>
    <w:lvl w:ilvl="2" w:tplc="9E0E1EDC">
      <w:start w:val="1"/>
      <w:numFmt w:val="lowerRoman"/>
      <w:lvlText w:val="%3."/>
      <w:lvlJc w:val="right"/>
      <w:pPr>
        <w:ind w:left="1800" w:hanging="180"/>
      </w:pPr>
    </w:lvl>
    <w:lvl w:ilvl="3" w:tplc="64C8BB06">
      <w:start w:val="1"/>
      <w:numFmt w:val="decimal"/>
      <w:lvlText w:val="%4."/>
      <w:lvlJc w:val="left"/>
      <w:pPr>
        <w:ind w:left="2520" w:hanging="360"/>
      </w:pPr>
    </w:lvl>
    <w:lvl w:ilvl="4" w:tplc="60528C80">
      <w:start w:val="1"/>
      <w:numFmt w:val="lowerLetter"/>
      <w:lvlText w:val="%5."/>
      <w:lvlJc w:val="left"/>
      <w:pPr>
        <w:ind w:left="3240" w:hanging="360"/>
      </w:pPr>
    </w:lvl>
    <w:lvl w:ilvl="5" w:tplc="A26EEA54">
      <w:start w:val="1"/>
      <w:numFmt w:val="lowerRoman"/>
      <w:lvlText w:val="%6."/>
      <w:lvlJc w:val="right"/>
      <w:pPr>
        <w:ind w:left="3960" w:hanging="180"/>
      </w:pPr>
    </w:lvl>
    <w:lvl w:ilvl="6" w:tplc="3E28CD5C">
      <w:start w:val="1"/>
      <w:numFmt w:val="decimal"/>
      <w:lvlText w:val="%7."/>
      <w:lvlJc w:val="left"/>
      <w:pPr>
        <w:ind w:left="4680" w:hanging="360"/>
      </w:pPr>
    </w:lvl>
    <w:lvl w:ilvl="7" w:tplc="013A839A">
      <w:start w:val="1"/>
      <w:numFmt w:val="lowerLetter"/>
      <w:lvlText w:val="%8."/>
      <w:lvlJc w:val="left"/>
      <w:pPr>
        <w:ind w:left="5400" w:hanging="360"/>
      </w:pPr>
    </w:lvl>
    <w:lvl w:ilvl="8" w:tplc="21DC7B7C">
      <w:start w:val="1"/>
      <w:numFmt w:val="lowerRoman"/>
      <w:lvlText w:val="%9."/>
      <w:lvlJc w:val="right"/>
      <w:pPr>
        <w:ind w:left="6120" w:hanging="180"/>
      </w:p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2D4A2D"/>
    <w:multiLevelType w:val="hybridMultilevel"/>
    <w:tmpl w:val="B612840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1"/>
  </w:num>
  <w:num w:numId="4">
    <w:abstractNumId w:val="7"/>
  </w:num>
  <w:num w:numId="5">
    <w:abstractNumId w:val="16"/>
  </w:num>
  <w:num w:numId="6">
    <w:abstractNumId w:val="17"/>
  </w:num>
  <w:num w:numId="7">
    <w:abstractNumId w:val="1"/>
  </w:num>
  <w:num w:numId="8">
    <w:abstractNumId w:val="5"/>
  </w:num>
  <w:num w:numId="9">
    <w:abstractNumId w:val="18"/>
  </w:num>
  <w:num w:numId="10">
    <w:abstractNumId w:val="4"/>
  </w:num>
  <w:num w:numId="11">
    <w:abstractNumId w:val="19"/>
  </w:num>
  <w:num w:numId="12">
    <w:abstractNumId w:val="3"/>
  </w:num>
  <w:num w:numId="13">
    <w:abstractNumId w:val="9"/>
  </w:num>
  <w:num w:numId="14">
    <w:abstractNumId w:val="15"/>
  </w:num>
  <w:num w:numId="15">
    <w:abstractNumId w:val="12"/>
  </w:num>
  <w:num w:numId="16">
    <w:abstractNumId w:val="14"/>
  </w:num>
  <w:num w:numId="17">
    <w:abstractNumId w:val="21"/>
  </w:num>
  <w:num w:numId="18">
    <w:abstractNumId w:val="20"/>
  </w:num>
  <w:num w:numId="19">
    <w:abstractNumId w:val="0"/>
  </w:num>
  <w:num w:numId="20">
    <w:abstractNumId w:val="22"/>
  </w:num>
  <w:num w:numId="21">
    <w:abstractNumId w:val="10"/>
  </w:num>
  <w:num w:numId="22">
    <w:abstractNumId w:val="13"/>
  </w:num>
  <w:num w:numId="23">
    <w:abstractNumId w:val="2"/>
  </w:num>
  <w:num w:numId="24">
    <w:abstractNumId w:val="23"/>
  </w:num>
  <w:num w:numId="25">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D570CC"/>
    <w:rsid w:val="00001C9B"/>
    <w:rsid w:val="000021A7"/>
    <w:rsid w:val="000040DC"/>
    <w:rsid w:val="00005A8C"/>
    <w:rsid w:val="00006E86"/>
    <w:rsid w:val="000129C9"/>
    <w:rsid w:val="000151EF"/>
    <w:rsid w:val="000239F5"/>
    <w:rsid w:val="00026CA8"/>
    <w:rsid w:val="000366DE"/>
    <w:rsid w:val="00040AE4"/>
    <w:rsid w:val="000537C8"/>
    <w:rsid w:val="00056392"/>
    <w:rsid w:val="00066033"/>
    <w:rsid w:val="00075304"/>
    <w:rsid w:val="00077013"/>
    <w:rsid w:val="00080668"/>
    <w:rsid w:val="00084453"/>
    <w:rsid w:val="0008612A"/>
    <w:rsid w:val="00086478"/>
    <w:rsid w:val="00090E18"/>
    <w:rsid w:val="00096599"/>
    <w:rsid w:val="000A10BC"/>
    <w:rsid w:val="000B0056"/>
    <w:rsid w:val="000B2202"/>
    <w:rsid w:val="000B55C4"/>
    <w:rsid w:val="000C3C7B"/>
    <w:rsid w:val="000D0F93"/>
    <w:rsid w:val="00106416"/>
    <w:rsid w:val="00110481"/>
    <w:rsid w:val="00111EE7"/>
    <w:rsid w:val="001127C9"/>
    <w:rsid w:val="00115B88"/>
    <w:rsid w:val="00116EDE"/>
    <w:rsid w:val="00132F6A"/>
    <w:rsid w:val="00133913"/>
    <w:rsid w:val="00134D07"/>
    <w:rsid w:val="00136995"/>
    <w:rsid w:val="0013784B"/>
    <w:rsid w:val="0014011B"/>
    <w:rsid w:val="00140221"/>
    <w:rsid w:val="00146F7F"/>
    <w:rsid w:val="001642FC"/>
    <w:rsid w:val="0016496B"/>
    <w:rsid w:val="0017081E"/>
    <w:rsid w:val="0017091E"/>
    <w:rsid w:val="001743E2"/>
    <w:rsid w:val="001745F8"/>
    <w:rsid w:val="00181112"/>
    <w:rsid w:val="001838CF"/>
    <w:rsid w:val="001868EE"/>
    <w:rsid w:val="001948DF"/>
    <w:rsid w:val="001A1172"/>
    <w:rsid w:val="001A3BA4"/>
    <w:rsid w:val="001A6D1F"/>
    <w:rsid w:val="001B0757"/>
    <w:rsid w:val="001C454E"/>
    <w:rsid w:val="001D1AB1"/>
    <w:rsid w:val="001D60CE"/>
    <w:rsid w:val="001E30F6"/>
    <w:rsid w:val="001E4456"/>
    <w:rsid w:val="001F779F"/>
    <w:rsid w:val="0020025B"/>
    <w:rsid w:val="002060F3"/>
    <w:rsid w:val="00217EE5"/>
    <w:rsid w:val="002221B4"/>
    <w:rsid w:val="002335BD"/>
    <w:rsid w:val="00235F5C"/>
    <w:rsid w:val="00243D2D"/>
    <w:rsid w:val="00255641"/>
    <w:rsid w:val="0027138B"/>
    <w:rsid w:val="0027480E"/>
    <w:rsid w:val="00277B56"/>
    <w:rsid w:val="00292D38"/>
    <w:rsid w:val="00294103"/>
    <w:rsid w:val="00294EB4"/>
    <w:rsid w:val="00296B4D"/>
    <w:rsid w:val="002A14FC"/>
    <w:rsid w:val="002A19F5"/>
    <w:rsid w:val="002A1DAB"/>
    <w:rsid w:val="002B4922"/>
    <w:rsid w:val="002B6742"/>
    <w:rsid w:val="002B67F5"/>
    <w:rsid w:val="002C22C3"/>
    <w:rsid w:val="002C2D19"/>
    <w:rsid w:val="002D10FA"/>
    <w:rsid w:val="002D4C55"/>
    <w:rsid w:val="002E53F3"/>
    <w:rsid w:val="002E6DED"/>
    <w:rsid w:val="00300446"/>
    <w:rsid w:val="00300956"/>
    <w:rsid w:val="00300E24"/>
    <w:rsid w:val="0030419E"/>
    <w:rsid w:val="003131A6"/>
    <w:rsid w:val="00316C77"/>
    <w:rsid w:val="00316E2D"/>
    <w:rsid w:val="00316EBA"/>
    <w:rsid w:val="00317187"/>
    <w:rsid w:val="00323CD4"/>
    <w:rsid w:val="0032499A"/>
    <w:rsid w:val="003300A5"/>
    <w:rsid w:val="003341F7"/>
    <w:rsid w:val="003402EB"/>
    <w:rsid w:val="00342F4A"/>
    <w:rsid w:val="00346495"/>
    <w:rsid w:val="00356F45"/>
    <w:rsid w:val="00366B74"/>
    <w:rsid w:val="003870CF"/>
    <w:rsid w:val="00391E48"/>
    <w:rsid w:val="00394A68"/>
    <w:rsid w:val="003A02D9"/>
    <w:rsid w:val="003A02FA"/>
    <w:rsid w:val="003A710A"/>
    <w:rsid w:val="003A712D"/>
    <w:rsid w:val="003B659E"/>
    <w:rsid w:val="003C3C72"/>
    <w:rsid w:val="003C5D01"/>
    <w:rsid w:val="003D5B05"/>
    <w:rsid w:val="003D7521"/>
    <w:rsid w:val="003D7FE0"/>
    <w:rsid w:val="003E1703"/>
    <w:rsid w:val="003E20B0"/>
    <w:rsid w:val="003E5842"/>
    <w:rsid w:val="003E7CE5"/>
    <w:rsid w:val="003F0EDF"/>
    <w:rsid w:val="003F7F09"/>
    <w:rsid w:val="00401532"/>
    <w:rsid w:val="00404C4C"/>
    <w:rsid w:val="00404F27"/>
    <w:rsid w:val="00413826"/>
    <w:rsid w:val="00413A00"/>
    <w:rsid w:val="0041423F"/>
    <w:rsid w:val="00414F81"/>
    <w:rsid w:val="00420B4B"/>
    <w:rsid w:val="0042293C"/>
    <w:rsid w:val="00436A0F"/>
    <w:rsid w:val="00437150"/>
    <w:rsid w:val="0043750A"/>
    <w:rsid w:val="00446B15"/>
    <w:rsid w:val="004475AA"/>
    <w:rsid w:val="0044791C"/>
    <w:rsid w:val="00454B23"/>
    <w:rsid w:val="00457E1F"/>
    <w:rsid w:val="0046127E"/>
    <w:rsid w:val="004732E9"/>
    <w:rsid w:val="004854BB"/>
    <w:rsid w:val="00496606"/>
    <w:rsid w:val="004A6EEE"/>
    <w:rsid w:val="004A7666"/>
    <w:rsid w:val="004C4402"/>
    <w:rsid w:val="004D09CF"/>
    <w:rsid w:val="004D58CB"/>
    <w:rsid w:val="004E5E66"/>
    <w:rsid w:val="004E6ECB"/>
    <w:rsid w:val="004E7ADB"/>
    <w:rsid w:val="004E7D2E"/>
    <w:rsid w:val="00501CA7"/>
    <w:rsid w:val="00503B4D"/>
    <w:rsid w:val="00504EE9"/>
    <w:rsid w:val="005204B4"/>
    <w:rsid w:val="005250E6"/>
    <w:rsid w:val="00527786"/>
    <w:rsid w:val="0053007B"/>
    <w:rsid w:val="0053077E"/>
    <w:rsid w:val="005373F9"/>
    <w:rsid w:val="00542D23"/>
    <w:rsid w:val="00542D50"/>
    <w:rsid w:val="0054442C"/>
    <w:rsid w:val="00550285"/>
    <w:rsid w:val="00562492"/>
    <w:rsid w:val="0057256D"/>
    <w:rsid w:val="00572A20"/>
    <w:rsid w:val="00576B9C"/>
    <w:rsid w:val="005836F8"/>
    <w:rsid w:val="00583753"/>
    <w:rsid w:val="005918FA"/>
    <w:rsid w:val="00592A86"/>
    <w:rsid w:val="00593CB8"/>
    <w:rsid w:val="00596999"/>
    <w:rsid w:val="00596A3A"/>
    <w:rsid w:val="005A5A36"/>
    <w:rsid w:val="005B4801"/>
    <w:rsid w:val="005C23A4"/>
    <w:rsid w:val="005C4DDA"/>
    <w:rsid w:val="005C5F80"/>
    <w:rsid w:val="005D1CDF"/>
    <w:rsid w:val="005D2BB7"/>
    <w:rsid w:val="005E00D3"/>
    <w:rsid w:val="005E61A8"/>
    <w:rsid w:val="005F6419"/>
    <w:rsid w:val="00600A95"/>
    <w:rsid w:val="00602B8F"/>
    <w:rsid w:val="006041AA"/>
    <w:rsid w:val="0060646E"/>
    <w:rsid w:val="006104DD"/>
    <w:rsid w:val="006130B5"/>
    <w:rsid w:val="00614660"/>
    <w:rsid w:val="0061486D"/>
    <w:rsid w:val="00617400"/>
    <w:rsid w:val="006245ED"/>
    <w:rsid w:val="00626E0F"/>
    <w:rsid w:val="00626ED3"/>
    <w:rsid w:val="00632D29"/>
    <w:rsid w:val="00635C35"/>
    <w:rsid w:val="006514DC"/>
    <w:rsid w:val="00664950"/>
    <w:rsid w:val="0066517D"/>
    <w:rsid w:val="00667498"/>
    <w:rsid w:val="00683220"/>
    <w:rsid w:val="00687FA0"/>
    <w:rsid w:val="006934DF"/>
    <w:rsid w:val="0069654B"/>
    <w:rsid w:val="006A3C11"/>
    <w:rsid w:val="006B44C1"/>
    <w:rsid w:val="006B7010"/>
    <w:rsid w:val="006C3095"/>
    <w:rsid w:val="006C3E71"/>
    <w:rsid w:val="006E1151"/>
    <w:rsid w:val="006E16E1"/>
    <w:rsid w:val="006E6311"/>
    <w:rsid w:val="006E7A93"/>
    <w:rsid w:val="006F02AB"/>
    <w:rsid w:val="00706612"/>
    <w:rsid w:val="0071022C"/>
    <w:rsid w:val="007145FF"/>
    <w:rsid w:val="00714AE0"/>
    <w:rsid w:val="00715B2A"/>
    <w:rsid w:val="00725FDA"/>
    <w:rsid w:val="00743C1F"/>
    <w:rsid w:val="007450F1"/>
    <w:rsid w:val="007461FF"/>
    <w:rsid w:val="00751515"/>
    <w:rsid w:val="007545A5"/>
    <w:rsid w:val="00754E5A"/>
    <w:rsid w:val="007626B7"/>
    <w:rsid w:val="0077250C"/>
    <w:rsid w:val="0077697E"/>
    <w:rsid w:val="0078212B"/>
    <w:rsid w:val="00784DF6"/>
    <w:rsid w:val="00785232"/>
    <w:rsid w:val="00793456"/>
    <w:rsid w:val="00796383"/>
    <w:rsid w:val="007A194C"/>
    <w:rsid w:val="007B186C"/>
    <w:rsid w:val="007B266B"/>
    <w:rsid w:val="007B34BB"/>
    <w:rsid w:val="007B7B31"/>
    <w:rsid w:val="007C1696"/>
    <w:rsid w:val="007C3ED0"/>
    <w:rsid w:val="007C5618"/>
    <w:rsid w:val="007C5E20"/>
    <w:rsid w:val="007D465C"/>
    <w:rsid w:val="007E13B5"/>
    <w:rsid w:val="007E6829"/>
    <w:rsid w:val="007F54B9"/>
    <w:rsid w:val="007F61DC"/>
    <w:rsid w:val="00800E71"/>
    <w:rsid w:val="00806A76"/>
    <w:rsid w:val="0080728C"/>
    <w:rsid w:val="0080759A"/>
    <w:rsid w:val="00810652"/>
    <w:rsid w:val="00811C9D"/>
    <w:rsid w:val="00814510"/>
    <w:rsid w:val="00816C80"/>
    <w:rsid w:val="00822410"/>
    <w:rsid w:val="008249D6"/>
    <w:rsid w:val="008366E7"/>
    <w:rsid w:val="00841A16"/>
    <w:rsid w:val="00841BCD"/>
    <w:rsid w:val="00851A8E"/>
    <w:rsid w:val="0085365B"/>
    <w:rsid w:val="00856B28"/>
    <w:rsid w:val="00864264"/>
    <w:rsid w:val="00874CEA"/>
    <w:rsid w:val="008826C1"/>
    <w:rsid w:val="008865D9"/>
    <w:rsid w:val="00887372"/>
    <w:rsid w:val="008A1BF7"/>
    <w:rsid w:val="008A5B0E"/>
    <w:rsid w:val="008A660E"/>
    <w:rsid w:val="008B0961"/>
    <w:rsid w:val="008C1AF3"/>
    <w:rsid w:val="008C5455"/>
    <w:rsid w:val="008D1BBF"/>
    <w:rsid w:val="008F0039"/>
    <w:rsid w:val="0090091A"/>
    <w:rsid w:val="00900B1E"/>
    <w:rsid w:val="009042BD"/>
    <w:rsid w:val="00912542"/>
    <w:rsid w:val="00936159"/>
    <w:rsid w:val="00943383"/>
    <w:rsid w:val="00947E2E"/>
    <w:rsid w:val="0095086E"/>
    <w:rsid w:val="009660B6"/>
    <w:rsid w:val="009672A4"/>
    <w:rsid w:val="00973482"/>
    <w:rsid w:val="00977E1D"/>
    <w:rsid w:val="00984575"/>
    <w:rsid w:val="009B0573"/>
    <w:rsid w:val="009B6A73"/>
    <w:rsid w:val="009B7C21"/>
    <w:rsid w:val="009E09FB"/>
    <w:rsid w:val="009E6BE6"/>
    <w:rsid w:val="009E7A7D"/>
    <w:rsid w:val="009F62A3"/>
    <w:rsid w:val="00A04992"/>
    <w:rsid w:val="00A04DB6"/>
    <w:rsid w:val="00A147AA"/>
    <w:rsid w:val="00A21D71"/>
    <w:rsid w:val="00A22B78"/>
    <w:rsid w:val="00A25AE5"/>
    <w:rsid w:val="00A3424C"/>
    <w:rsid w:val="00A37002"/>
    <w:rsid w:val="00A4355E"/>
    <w:rsid w:val="00A5224A"/>
    <w:rsid w:val="00A52FB7"/>
    <w:rsid w:val="00A74FCA"/>
    <w:rsid w:val="00AA1B0E"/>
    <w:rsid w:val="00AA47B6"/>
    <w:rsid w:val="00AC163B"/>
    <w:rsid w:val="00AC5CA7"/>
    <w:rsid w:val="00AE2BA5"/>
    <w:rsid w:val="00AE56B1"/>
    <w:rsid w:val="00AE6D09"/>
    <w:rsid w:val="00AF7A7C"/>
    <w:rsid w:val="00AFA219"/>
    <w:rsid w:val="00B11DB8"/>
    <w:rsid w:val="00B25CF1"/>
    <w:rsid w:val="00B364D5"/>
    <w:rsid w:val="00B408B6"/>
    <w:rsid w:val="00B472B3"/>
    <w:rsid w:val="00B542DA"/>
    <w:rsid w:val="00B5545B"/>
    <w:rsid w:val="00B61B35"/>
    <w:rsid w:val="00B637C1"/>
    <w:rsid w:val="00B73862"/>
    <w:rsid w:val="00B73F43"/>
    <w:rsid w:val="00B9380E"/>
    <w:rsid w:val="00BA3DD3"/>
    <w:rsid w:val="00BA6B66"/>
    <w:rsid w:val="00BA6E48"/>
    <w:rsid w:val="00BC08F3"/>
    <w:rsid w:val="00BC1604"/>
    <w:rsid w:val="00BC327A"/>
    <w:rsid w:val="00BE0628"/>
    <w:rsid w:val="00BE0AF6"/>
    <w:rsid w:val="00BE1F03"/>
    <w:rsid w:val="00BE58A7"/>
    <w:rsid w:val="00BF2218"/>
    <w:rsid w:val="00C02B64"/>
    <w:rsid w:val="00C0426B"/>
    <w:rsid w:val="00C045DF"/>
    <w:rsid w:val="00C067D2"/>
    <w:rsid w:val="00C11CD3"/>
    <w:rsid w:val="00C26D43"/>
    <w:rsid w:val="00C46548"/>
    <w:rsid w:val="00C574D5"/>
    <w:rsid w:val="00C73F32"/>
    <w:rsid w:val="00C77BF7"/>
    <w:rsid w:val="00C80A92"/>
    <w:rsid w:val="00C87462"/>
    <w:rsid w:val="00C9231D"/>
    <w:rsid w:val="00C9696E"/>
    <w:rsid w:val="00CA180C"/>
    <w:rsid w:val="00CA66D7"/>
    <w:rsid w:val="00CB22B2"/>
    <w:rsid w:val="00CB2884"/>
    <w:rsid w:val="00CC3EE2"/>
    <w:rsid w:val="00CD58E6"/>
    <w:rsid w:val="00CD7492"/>
    <w:rsid w:val="00CE3A6B"/>
    <w:rsid w:val="00CE4796"/>
    <w:rsid w:val="00CE5D8F"/>
    <w:rsid w:val="00CE5E76"/>
    <w:rsid w:val="00D00211"/>
    <w:rsid w:val="00D06309"/>
    <w:rsid w:val="00D1123C"/>
    <w:rsid w:val="00D13554"/>
    <w:rsid w:val="00D34DC6"/>
    <w:rsid w:val="00D351EA"/>
    <w:rsid w:val="00D40288"/>
    <w:rsid w:val="00D43403"/>
    <w:rsid w:val="00D459F0"/>
    <w:rsid w:val="00D5270B"/>
    <w:rsid w:val="00D53447"/>
    <w:rsid w:val="00D542B8"/>
    <w:rsid w:val="00D570CC"/>
    <w:rsid w:val="00D62E71"/>
    <w:rsid w:val="00D6430D"/>
    <w:rsid w:val="00D66188"/>
    <w:rsid w:val="00D731F6"/>
    <w:rsid w:val="00D740CA"/>
    <w:rsid w:val="00D85728"/>
    <w:rsid w:val="00D95481"/>
    <w:rsid w:val="00DA0201"/>
    <w:rsid w:val="00DB0757"/>
    <w:rsid w:val="00DB150B"/>
    <w:rsid w:val="00DC5E74"/>
    <w:rsid w:val="00DC7A13"/>
    <w:rsid w:val="00DD461C"/>
    <w:rsid w:val="00DD6B55"/>
    <w:rsid w:val="00DF0438"/>
    <w:rsid w:val="00DF2997"/>
    <w:rsid w:val="00E10BC4"/>
    <w:rsid w:val="00E1415D"/>
    <w:rsid w:val="00E202B0"/>
    <w:rsid w:val="00E21C30"/>
    <w:rsid w:val="00E34018"/>
    <w:rsid w:val="00E437D2"/>
    <w:rsid w:val="00E51837"/>
    <w:rsid w:val="00E55751"/>
    <w:rsid w:val="00E63BD2"/>
    <w:rsid w:val="00E65E2B"/>
    <w:rsid w:val="00E66B00"/>
    <w:rsid w:val="00E670C7"/>
    <w:rsid w:val="00E84365"/>
    <w:rsid w:val="00E90585"/>
    <w:rsid w:val="00EA2311"/>
    <w:rsid w:val="00EA7906"/>
    <w:rsid w:val="00EB1C2E"/>
    <w:rsid w:val="00EB3486"/>
    <w:rsid w:val="00EC7BC3"/>
    <w:rsid w:val="00ED7600"/>
    <w:rsid w:val="00EF6073"/>
    <w:rsid w:val="00EF698B"/>
    <w:rsid w:val="00F1362C"/>
    <w:rsid w:val="00F163D4"/>
    <w:rsid w:val="00F24B12"/>
    <w:rsid w:val="00F316EC"/>
    <w:rsid w:val="00F31747"/>
    <w:rsid w:val="00F334F2"/>
    <w:rsid w:val="00F414F1"/>
    <w:rsid w:val="00F508B8"/>
    <w:rsid w:val="00F51586"/>
    <w:rsid w:val="00F8215E"/>
    <w:rsid w:val="00F824F5"/>
    <w:rsid w:val="00F9374D"/>
    <w:rsid w:val="00FA2CDA"/>
    <w:rsid w:val="00FA39D0"/>
    <w:rsid w:val="00FB35AB"/>
    <w:rsid w:val="00FC29B9"/>
    <w:rsid w:val="00FC6FD3"/>
    <w:rsid w:val="00FE305C"/>
    <w:rsid w:val="00FE5332"/>
    <w:rsid w:val="00FE7DD9"/>
    <w:rsid w:val="00FF0301"/>
    <w:rsid w:val="00FF2ACD"/>
    <w:rsid w:val="00FF4E33"/>
    <w:rsid w:val="010CA372"/>
    <w:rsid w:val="0124CFB0"/>
    <w:rsid w:val="020628DC"/>
    <w:rsid w:val="02C4F0F6"/>
    <w:rsid w:val="02CBE69B"/>
    <w:rsid w:val="03EA4930"/>
    <w:rsid w:val="04257826"/>
    <w:rsid w:val="047BBEF2"/>
    <w:rsid w:val="0492EFBE"/>
    <w:rsid w:val="049FDAB2"/>
    <w:rsid w:val="04BF67A9"/>
    <w:rsid w:val="052614AA"/>
    <w:rsid w:val="053DB39D"/>
    <w:rsid w:val="05ABC200"/>
    <w:rsid w:val="0656EA70"/>
    <w:rsid w:val="0870D6D9"/>
    <w:rsid w:val="0890B1DA"/>
    <w:rsid w:val="09483661"/>
    <w:rsid w:val="0953F572"/>
    <w:rsid w:val="095C630A"/>
    <w:rsid w:val="09E69A24"/>
    <w:rsid w:val="0B08BD07"/>
    <w:rsid w:val="0B62E934"/>
    <w:rsid w:val="0B6DAC94"/>
    <w:rsid w:val="0C882DF2"/>
    <w:rsid w:val="0CA03A3B"/>
    <w:rsid w:val="0CD4CA75"/>
    <w:rsid w:val="0D1658F3"/>
    <w:rsid w:val="0D3D24BF"/>
    <w:rsid w:val="0D89AB75"/>
    <w:rsid w:val="0DC3B89E"/>
    <w:rsid w:val="0E54FB8F"/>
    <w:rsid w:val="0E5FE80A"/>
    <w:rsid w:val="0E6969D4"/>
    <w:rsid w:val="0E7C2597"/>
    <w:rsid w:val="0F83ED99"/>
    <w:rsid w:val="0F878FFB"/>
    <w:rsid w:val="10064264"/>
    <w:rsid w:val="102ED273"/>
    <w:rsid w:val="1066BC70"/>
    <w:rsid w:val="10A344A2"/>
    <w:rsid w:val="110922AE"/>
    <w:rsid w:val="111A4339"/>
    <w:rsid w:val="1132A14D"/>
    <w:rsid w:val="118BD3DB"/>
    <w:rsid w:val="123A312B"/>
    <w:rsid w:val="129037CE"/>
    <w:rsid w:val="12FE8F26"/>
    <w:rsid w:val="1382924D"/>
    <w:rsid w:val="15D036DC"/>
    <w:rsid w:val="15D3F0B3"/>
    <w:rsid w:val="1666E00F"/>
    <w:rsid w:val="169406F5"/>
    <w:rsid w:val="16C650AD"/>
    <w:rsid w:val="177B0C6D"/>
    <w:rsid w:val="185EF54F"/>
    <w:rsid w:val="18B62DCC"/>
    <w:rsid w:val="18EEC2CB"/>
    <w:rsid w:val="1921C014"/>
    <w:rsid w:val="193D1BBA"/>
    <w:rsid w:val="1AA3A7FF"/>
    <w:rsid w:val="1AC41313"/>
    <w:rsid w:val="1AFB96F8"/>
    <w:rsid w:val="1B408DE7"/>
    <w:rsid w:val="1B7CE5A9"/>
    <w:rsid w:val="1B9D53AC"/>
    <w:rsid w:val="1BB57FEA"/>
    <w:rsid w:val="1BE2E213"/>
    <w:rsid w:val="1C26AA12"/>
    <w:rsid w:val="1C26DC44"/>
    <w:rsid w:val="1CA12286"/>
    <w:rsid w:val="1D6CBFC3"/>
    <w:rsid w:val="1DE50A26"/>
    <w:rsid w:val="1E629B56"/>
    <w:rsid w:val="1F18BC6D"/>
    <w:rsid w:val="1F6D5C44"/>
    <w:rsid w:val="1F828948"/>
    <w:rsid w:val="200ACA09"/>
    <w:rsid w:val="200EEEF2"/>
    <w:rsid w:val="2074DD06"/>
    <w:rsid w:val="20B02610"/>
    <w:rsid w:val="20C257D5"/>
    <w:rsid w:val="20E64610"/>
    <w:rsid w:val="210091F4"/>
    <w:rsid w:val="229D737A"/>
    <w:rsid w:val="232016DD"/>
    <w:rsid w:val="233592CC"/>
    <w:rsid w:val="238075FF"/>
    <w:rsid w:val="238B74F1"/>
    <w:rsid w:val="2418157C"/>
    <w:rsid w:val="2419C28A"/>
    <w:rsid w:val="2476E5B7"/>
    <w:rsid w:val="24CDE6CF"/>
    <w:rsid w:val="24CE444E"/>
    <w:rsid w:val="24F9EDC1"/>
    <w:rsid w:val="25DB6E3C"/>
    <w:rsid w:val="25DBA001"/>
    <w:rsid w:val="25F3996E"/>
    <w:rsid w:val="26345EDF"/>
    <w:rsid w:val="26391A4C"/>
    <w:rsid w:val="2706946E"/>
    <w:rsid w:val="27240123"/>
    <w:rsid w:val="273C5F37"/>
    <w:rsid w:val="2751634C"/>
    <w:rsid w:val="27E4AEC3"/>
    <w:rsid w:val="27FA6DD4"/>
    <w:rsid w:val="28AFC64A"/>
    <w:rsid w:val="28BB4251"/>
    <w:rsid w:val="28FDD807"/>
    <w:rsid w:val="29100EFD"/>
    <w:rsid w:val="29B3F91E"/>
    <w:rsid w:val="29C5359D"/>
    <w:rsid w:val="2A1C2BA2"/>
    <w:rsid w:val="2A1DC5F9"/>
    <w:rsid w:val="2A9D3F20"/>
    <w:rsid w:val="2B635EDB"/>
    <w:rsid w:val="2C267399"/>
    <w:rsid w:val="2C307C06"/>
    <w:rsid w:val="2C6FEA85"/>
    <w:rsid w:val="2D051BED"/>
    <w:rsid w:val="2DBA2A6C"/>
    <w:rsid w:val="2EB27A1D"/>
    <w:rsid w:val="2EBFEBB6"/>
    <w:rsid w:val="2ED4291C"/>
    <w:rsid w:val="2ED9B15F"/>
    <w:rsid w:val="2F46D9A4"/>
    <w:rsid w:val="2FC5F778"/>
    <w:rsid w:val="2FE5CB97"/>
    <w:rsid w:val="308F3AC6"/>
    <w:rsid w:val="314F1078"/>
    <w:rsid w:val="31512F71"/>
    <w:rsid w:val="316B1FBC"/>
    <w:rsid w:val="325446C4"/>
    <w:rsid w:val="3263D7CC"/>
    <w:rsid w:val="327629E1"/>
    <w:rsid w:val="32BF951D"/>
    <w:rsid w:val="339781CE"/>
    <w:rsid w:val="33B8D277"/>
    <w:rsid w:val="345A8572"/>
    <w:rsid w:val="34692827"/>
    <w:rsid w:val="3504DD39"/>
    <w:rsid w:val="36F9F0A6"/>
    <w:rsid w:val="3774D1D4"/>
    <w:rsid w:val="38F34B90"/>
    <w:rsid w:val="390EA994"/>
    <w:rsid w:val="393AD1DF"/>
    <w:rsid w:val="393F50B6"/>
    <w:rsid w:val="3942D8C5"/>
    <w:rsid w:val="396B43BB"/>
    <w:rsid w:val="3A6D79EA"/>
    <w:rsid w:val="3A810848"/>
    <w:rsid w:val="3B4D0949"/>
    <w:rsid w:val="3B961748"/>
    <w:rsid w:val="3BE55DEB"/>
    <w:rsid w:val="3BF191B5"/>
    <w:rsid w:val="3BFCE9FB"/>
    <w:rsid w:val="3BFD5758"/>
    <w:rsid w:val="3C20AFA8"/>
    <w:rsid w:val="3C4500F4"/>
    <w:rsid w:val="3C6A0A97"/>
    <w:rsid w:val="3C73D61B"/>
    <w:rsid w:val="3C8F31C1"/>
    <w:rsid w:val="3D814C17"/>
    <w:rsid w:val="3DAE1AD1"/>
    <w:rsid w:val="3DE80981"/>
    <w:rsid w:val="3E51AE93"/>
    <w:rsid w:val="3E5C2564"/>
    <w:rsid w:val="3EAA72C4"/>
    <w:rsid w:val="3F19CCE7"/>
    <w:rsid w:val="3F3460A2"/>
    <w:rsid w:val="404AEF0B"/>
    <w:rsid w:val="40F5AE8C"/>
    <w:rsid w:val="419A2678"/>
    <w:rsid w:val="42B882AA"/>
    <w:rsid w:val="438E8841"/>
    <w:rsid w:val="43C51178"/>
    <w:rsid w:val="43FC22E4"/>
    <w:rsid w:val="4400B030"/>
    <w:rsid w:val="44BEBD25"/>
    <w:rsid w:val="45353BE8"/>
    <w:rsid w:val="456EC2B1"/>
    <w:rsid w:val="458F6530"/>
    <w:rsid w:val="45CF7260"/>
    <w:rsid w:val="45EF8981"/>
    <w:rsid w:val="4649387D"/>
    <w:rsid w:val="4661FB2D"/>
    <w:rsid w:val="46722CE4"/>
    <w:rsid w:val="4687A8D3"/>
    <w:rsid w:val="46D07E06"/>
    <w:rsid w:val="46DFEC7A"/>
    <w:rsid w:val="485A7180"/>
    <w:rsid w:val="4872CF94"/>
    <w:rsid w:val="4934C43F"/>
    <w:rsid w:val="498FE9C2"/>
    <w:rsid w:val="49A9362E"/>
    <w:rsid w:val="49C32DF9"/>
    <w:rsid w:val="49CDD893"/>
    <w:rsid w:val="49DDC7CF"/>
    <w:rsid w:val="4BC9F254"/>
    <w:rsid w:val="4BDAFC0B"/>
    <w:rsid w:val="4C37C1D0"/>
    <w:rsid w:val="4CF99B53"/>
    <w:rsid w:val="4D580202"/>
    <w:rsid w:val="4D5B3300"/>
    <w:rsid w:val="4D682985"/>
    <w:rsid w:val="4D6BB655"/>
    <w:rsid w:val="4D8BC427"/>
    <w:rsid w:val="4DBBB68F"/>
    <w:rsid w:val="4E55D1E3"/>
    <w:rsid w:val="4F75CB4D"/>
    <w:rsid w:val="4F926BD0"/>
    <w:rsid w:val="5009FF62"/>
    <w:rsid w:val="50733314"/>
    <w:rsid w:val="508F655F"/>
    <w:rsid w:val="51267EFF"/>
    <w:rsid w:val="51BAC940"/>
    <w:rsid w:val="51E11AF9"/>
    <w:rsid w:val="51F62A0C"/>
    <w:rsid w:val="52049024"/>
    <w:rsid w:val="5225800E"/>
    <w:rsid w:val="5256F8AC"/>
    <w:rsid w:val="526A9BFB"/>
    <w:rsid w:val="52A394C1"/>
    <w:rsid w:val="5337E19E"/>
    <w:rsid w:val="53E150CD"/>
    <w:rsid w:val="54866A8B"/>
    <w:rsid w:val="54A34578"/>
    <w:rsid w:val="54DA9D47"/>
    <w:rsid w:val="54FD40EE"/>
    <w:rsid w:val="5552A34C"/>
    <w:rsid w:val="5591AC96"/>
    <w:rsid w:val="55BB27B1"/>
    <w:rsid w:val="568E0792"/>
    <w:rsid w:val="56BB0514"/>
    <w:rsid w:val="570B1EFF"/>
    <w:rsid w:val="5856F340"/>
    <w:rsid w:val="58F30B3D"/>
    <w:rsid w:val="59335022"/>
    <w:rsid w:val="59AD176F"/>
    <w:rsid w:val="59C839B2"/>
    <w:rsid w:val="59F0F4DF"/>
    <w:rsid w:val="59FCFAD9"/>
    <w:rsid w:val="5A491E1E"/>
    <w:rsid w:val="5B78809B"/>
    <w:rsid w:val="5C7BEACE"/>
    <w:rsid w:val="5CBF0A9F"/>
    <w:rsid w:val="5CF2355D"/>
    <w:rsid w:val="5CFC1A26"/>
    <w:rsid w:val="5DBE2122"/>
    <w:rsid w:val="5E55C1B2"/>
    <w:rsid w:val="5F231A2B"/>
    <w:rsid w:val="5F3773F2"/>
    <w:rsid w:val="5F9AFAAB"/>
    <w:rsid w:val="601BFFCA"/>
    <w:rsid w:val="60587F6E"/>
    <w:rsid w:val="6068D96E"/>
    <w:rsid w:val="60A47875"/>
    <w:rsid w:val="60D3621E"/>
    <w:rsid w:val="60DB38C1"/>
    <w:rsid w:val="61EB9D95"/>
    <w:rsid w:val="61FC88CB"/>
    <w:rsid w:val="61FD6BA1"/>
    <w:rsid w:val="627FEC8C"/>
    <w:rsid w:val="62870E21"/>
    <w:rsid w:val="6428EE0A"/>
    <w:rsid w:val="6506C764"/>
    <w:rsid w:val="651A0FB5"/>
    <w:rsid w:val="653F8283"/>
    <w:rsid w:val="65F53981"/>
    <w:rsid w:val="6666299F"/>
    <w:rsid w:val="6694841C"/>
    <w:rsid w:val="6717277F"/>
    <w:rsid w:val="673653A1"/>
    <w:rsid w:val="676F1678"/>
    <w:rsid w:val="687459E5"/>
    <w:rsid w:val="688751EF"/>
    <w:rsid w:val="69419F88"/>
    <w:rsid w:val="69EB0EB7"/>
    <w:rsid w:val="6A51179C"/>
    <w:rsid w:val="6A678AFC"/>
    <w:rsid w:val="6AB4AB28"/>
    <w:rsid w:val="6AC17B68"/>
    <w:rsid w:val="6B1B11C5"/>
    <w:rsid w:val="6B89FE47"/>
    <w:rsid w:val="6BA6FFA6"/>
    <w:rsid w:val="6BC4E59B"/>
    <w:rsid w:val="6C3AFFB7"/>
    <w:rsid w:val="6C86DA46"/>
    <w:rsid w:val="6CD6DFB1"/>
    <w:rsid w:val="6E08CE20"/>
    <w:rsid w:val="6E490041"/>
    <w:rsid w:val="6EE81B23"/>
    <w:rsid w:val="6F159A7B"/>
    <w:rsid w:val="6FD88D4C"/>
    <w:rsid w:val="6FF204FA"/>
    <w:rsid w:val="702F72F4"/>
    <w:rsid w:val="71FE6A86"/>
    <w:rsid w:val="71FF234B"/>
    <w:rsid w:val="7220F4B7"/>
    <w:rsid w:val="72B6FC58"/>
    <w:rsid w:val="72DBDD5F"/>
    <w:rsid w:val="7305A6E7"/>
    <w:rsid w:val="740D4574"/>
    <w:rsid w:val="744B1807"/>
    <w:rsid w:val="7556A62B"/>
    <w:rsid w:val="7626584E"/>
    <w:rsid w:val="771B08C0"/>
    <w:rsid w:val="773366D4"/>
    <w:rsid w:val="77A5F9A5"/>
    <w:rsid w:val="77F55B7F"/>
    <w:rsid w:val="77F931BD"/>
    <w:rsid w:val="782A94D9"/>
    <w:rsid w:val="7857DEA5"/>
    <w:rsid w:val="786369E2"/>
    <w:rsid w:val="7890CC0B"/>
    <w:rsid w:val="78A4CB11"/>
    <w:rsid w:val="78D4940A"/>
    <w:rsid w:val="78DD180D"/>
    <w:rsid w:val="78E2E9F1"/>
    <w:rsid w:val="7948C357"/>
    <w:rsid w:val="7958665D"/>
    <w:rsid w:val="79890813"/>
    <w:rsid w:val="79E01D99"/>
    <w:rsid w:val="7AD3D855"/>
    <w:rsid w:val="7B58FFD8"/>
    <w:rsid w:val="7BED0B1A"/>
    <w:rsid w:val="7C07638A"/>
    <w:rsid w:val="7C9045AE"/>
    <w:rsid w:val="7CF268B9"/>
    <w:rsid w:val="7D943008"/>
    <w:rsid w:val="7E3C83F8"/>
    <w:rsid w:val="7ECA96A2"/>
    <w:rsid w:val="7EE6C39D"/>
    <w:rsid w:val="7F1EC63F"/>
    <w:rsid w:val="7F4B5D72"/>
    <w:rsid w:val="7FC8EE35"/>
    <w:rsid w:val="7FCE00D5"/>
    <w:rsid w:val="7FFC56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95A7B"/>
  <w15:chartTrackingRefBased/>
  <w15:docId w15:val="{07CE70DE-9A21-404B-A44A-84EF92AAD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BB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列出段落1,中等深浅网格 1 - 着色 21,列表段落,¥¡¡¡¡ì¬º¥¹¥È¶ÎÂä,ÁÐ³ö¶ÎÂä,列表段落1,—ño’i—Ž,¥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5"/>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4"/>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ì¬º¥¹¥È¶ÎÂä Char,ÁÐ³ö¶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6"/>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19"/>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DLaM Display" w:hAnsi="ADLaM Display"/>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FA2CDA"/>
    <w:pPr>
      <w:spacing w:before="100" w:beforeAutospacing="1" w:after="100" w:afterAutospacing="1" w:line="240" w:lineRule="auto"/>
    </w:pPr>
    <w:rPr>
      <w:rFonts w:eastAsia="Times New Roman" w:cs="Times New Roman"/>
      <w:sz w:val="24"/>
      <w:szCs w:val="24"/>
      <w:lang w:val="da-DK" w:eastAsia="da-DK"/>
    </w:rPr>
  </w:style>
  <w:style w:type="character" w:customStyle="1" w:styleId="normaltextrun">
    <w:name w:val="normaltextrun"/>
    <w:basedOn w:val="DefaultParagraphFont"/>
    <w:rsid w:val="00181112"/>
  </w:style>
  <w:style w:type="paragraph" w:styleId="Header">
    <w:name w:val="header"/>
    <w:basedOn w:val="Normal"/>
    <w:link w:val="HeaderChar"/>
    <w:uiPriority w:val="99"/>
    <w:unhideWhenUsed/>
    <w:rsid w:val="00056392"/>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6392"/>
    <w:rPr>
      <w:rFonts w:ascii="Times New Roman" w:hAnsi="Times New Roman"/>
      <w:sz w:val="20"/>
    </w:rPr>
  </w:style>
  <w:style w:type="paragraph" w:styleId="Footer">
    <w:name w:val="footer"/>
    <w:basedOn w:val="Normal"/>
    <w:link w:val="FooterChar"/>
    <w:uiPriority w:val="99"/>
    <w:unhideWhenUsed/>
    <w:rsid w:val="00056392"/>
    <w:pPr>
      <w:tabs>
        <w:tab w:val="center" w:pos="4819"/>
        <w:tab w:val="right" w:pos="9638"/>
      </w:tabs>
      <w:spacing w:after="0" w:line="240" w:lineRule="auto"/>
    </w:pPr>
  </w:style>
  <w:style w:type="character" w:customStyle="1" w:styleId="FooterChar">
    <w:name w:val="Footer Char"/>
    <w:basedOn w:val="DefaultParagraphFont"/>
    <w:link w:val="Footer"/>
    <w:uiPriority w:val="99"/>
    <w:rsid w:val="00056392"/>
    <w:rPr>
      <w:rFonts w:ascii="Times New Roman" w:hAnsi="Times New Roman"/>
      <w:sz w:val="20"/>
    </w:rPr>
  </w:style>
  <w:style w:type="character" w:styleId="Mention">
    <w:name w:val="Mention"/>
    <w:basedOn w:val="DefaultParagraphFont"/>
    <w:uiPriority w:val="99"/>
    <w:unhideWhenUsed/>
    <w:rPr>
      <w:color w:val="2B579A"/>
      <w:shd w:val="clear" w:color="auto" w:fill="E6E6E6"/>
    </w:rPr>
  </w:style>
  <w:style w:type="paragraph" w:customStyle="1" w:styleId="TAH">
    <w:name w:val="TAH"/>
    <w:basedOn w:val="TAC"/>
    <w:link w:val="TAHCar"/>
    <w:qFormat/>
    <w:rsid w:val="00D53447"/>
    <w:rPr>
      <w:b/>
    </w:rPr>
  </w:style>
  <w:style w:type="paragraph" w:customStyle="1" w:styleId="TAC">
    <w:name w:val="TAC"/>
    <w:basedOn w:val="Normal"/>
    <w:link w:val="TACChar"/>
    <w:qFormat/>
    <w:rsid w:val="00D53447"/>
    <w:pPr>
      <w:keepNext/>
      <w:keepLines/>
      <w:spacing w:after="0" w:line="240" w:lineRule="auto"/>
      <w:jc w:val="center"/>
    </w:pPr>
    <w:rPr>
      <w:rFonts w:ascii="Arial" w:eastAsia="Times New Roman" w:hAnsi="Arial" w:cs="Times New Roman"/>
      <w:sz w:val="18"/>
      <w:szCs w:val="20"/>
      <w:lang w:val="en-GB"/>
    </w:rPr>
  </w:style>
  <w:style w:type="paragraph" w:customStyle="1" w:styleId="TH">
    <w:name w:val="TH"/>
    <w:basedOn w:val="Normal"/>
    <w:link w:val="THChar"/>
    <w:qFormat/>
    <w:rsid w:val="00D53447"/>
    <w:pPr>
      <w:keepNext/>
      <w:keepLines/>
      <w:spacing w:before="60" w:after="180" w:line="240" w:lineRule="auto"/>
      <w:jc w:val="center"/>
    </w:pPr>
    <w:rPr>
      <w:rFonts w:ascii="Arial" w:eastAsia="Times New Roman" w:hAnsi="Arial" w:cs="Times New Roman"/>
      <w:b/>
      <w:szCs w:val="20"/>
      <w:lang w:val="en-GB"/>
    </w:rPr>
  </w:style>
  <w:style w:type="character" w:customStyle="1" w:styleId="TACChar">
    <w:name w:val="TAC Char"/>
    <w:link w:val="TAC"/>
    <w:qFormat/>
    <w:rsid w:val="00D53447"/>
    <w:rPr>
      <w:rFonts w:ascii="Arial" w:eastAsia="Times New Roman" w:hAnsi="Arial" w:cs="Times New Roman"/>
      <w:sz w:val="18"/>
      <w:szCs w:val="20"/>
      <w:lang w:val="en-GB"/>
    </w:rPr>
  </w:style>
  <w:style w:type="character" w:customStyle="1" w:styleId="THChar">
    <w:name w:val="TH Char"/>
    <w:link w:val="TH"/>
    <w:qFormat/>
    <w:rsid w:val="00D53447"/>
    <w:rPr>
      <w:rFonts w:ascii="Arial" w:eastAsia="Times New Roman" w:hAnsi="Arial" w:cs="Times New Roman"/>
      <w:b/>
      <w:sz w:val="20"/>
      <w:szCs w:val="20"/>
      <w:lang w:val="en-GB"/>
    </w:rPr>
  </w:style>
  <w:style w:type="character" w:customStyle="1" w:styleId="TAHCar">
    <w:name w:val="TAH Car"/>
    <w:link w:val="TAH"/>
    <w:qFormat/>
    <w:rsid w:val="00D53447"/>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108630">
      <w:bodyDiv w:val="1"/>
      <w:marLeft w:val="0"/>
      <w:marRight w:val="0"/>
      <w:marTop w:val="0"/>
      <w:marBottom w:val="0"/>
      <w:divBdr>
        <w:top w:val="none" w:sz="0" w:space="0" w:color="auto"/>
        <w:left w:val="none" w:sz="0" w:space="0" w:color="auto"/>
        <w:bottom w:val="none" w:sz="0" w:space="0" w:color="auto"/>
        <w:right w:val="none" w:sz="0" w:space="0" w:color="auto"/>
      </w:divBdr>
    </w:div>
    <w:div w:id="780347024">
      <w:bodyDiv w:val="1"/>
      <w:marLeft w:val="0"/>
      <w:marRight w:val="0"/>
      <w:marTop w:val="0"/>
      <w:marBottom w:val="0"/>
      <w:divBdr>
        <w:top w:val="none" w:sz="0" w:space="0" w:color="auto"/>
        <w:left w:val="none" w:sz="0" w:space="0" w:color="auto"/>
        <w:bottom w:val="none" w:sz="0" w:space="0" w:color="auto"/>
        <w:right w:val="none" w:sz="0" w:space="0" w:color="auto"/>
      </w:divBdr>
    </w:div>
    <w:div w:id="1093361772">
      <w:bodyDiv w:val="1"/>
      <w:marLeft w:val="0"/>
      <w:marRight w:val="0"/>
      <w:marTop w:val="0"/>
      <w:marBottom w:val="0"/>
      <w:divBdr>
        <w:top w:val="none" w:sz="0" w:space="0" w:color="auto"/>
        <w:left w:val="none" w:sz="0" w:space="0" w:color="auto"/>
        <w:bottom w:val="none" w:sz="0" w:space="0" w:color="auto"/>
        <w:right w:val="none" w:sz="0" w:space="0" w:color="auto"/>
      </w:divBdr>
      <w:divsChild>
        <w:div w:id="1483427475">
          <w:marLeft w:val="0"/>
          <w:marRight w:val="0"/>
          <w:marTop w:val="0"/>
          <w:marBottom w:val="0"/>
          <w:divBdr>
            <w:top w:val="none" w:sz="0" w:space="0" w:color="auto"/>
            <w:left w:val="none" w:sz="0" w:space="0" w:color="auto"/>
            <w:bottom w:val="none" w:sz="0" w:space="0" w:color="auto"/>
            <w:right w:val="none" w:sz="0" w:space="0" w:color="auto"/>
          </w:divBdr>
        </w:div>
        <w:div w:id="2095777377">
          <w:marLeft w:val="0"/>
          <w:marRight w:val="0"/>
          <w:marTop w:val="0"/>
          <w:marBottom w:val="0"/>
          <w:divBdr>
            <w:top w:val="none" w:sz="0" w:space="0" w:color="auto"/>
            <w:left w:val="none" w:sz="0" w:space="0" w:color="auto"/>
            <w:bottom w:val="none" w:sz="0" w:space="0" w:color="auto"/>
            <w:right w:val="none" w:sz="0" w:space="0" w:color="auto"/>
          </w:divBdr>
        </w:div>
      </w:divsChild>
    </w:div>
    <w:div w:id="1250768570">
      <w:bodyDiv w:val="1"/>
      <w:marLeft w:val="0"/>
      <w:marRight w:val="0"/>
      <w:marTop w:val="0"/>
      <w:marBottom w:val="0"/>
      <w:divBdr>
        <w:top w:val="none" w:sz="0" w:space="0" w:color="auto"/>
        <w:left w:val="none" w:sz="0" w:space="0" w:color="auto"/>
        <w:bottom w:val="none" w:sz="0" w:space="0" w:color="auto"/>
        <w:right w:val="none" w:sz="0" w:space="0" w:color="auto"/>
      </w:divBdr>
    </w:div>
    <w:div w:id="1269704472">
      <w:bodyDiv w:val="1"/>
      <w:marLeft w:val="0"/>
      <w:marRight w:val="0"/>
      <w:marTop w:val="0"/>
      <w:marBottom w:val="0"/>
      <w:divBdr>
        <w:top w:val="none" w:sz="0" w:space="0" w:color="auto"/>
        <w:left w:val="none" w:sz="0" w:space="0" w:color="auto"/>
        <w:bottom w:val="none" w:sz="0" w:space="0" w:color="auto"/>
        <w:right w:val="none" w:sz="0" w:space="0" w:color="auto"/>
      </w:divBdr>
    </w:div>
    <w:div w:id="1422796360">
      <w:bodyDiv w:val="1"/>
      <w:marLeft w:val="0"/>
      <w:marRight w:val="0"/>
      <w:marTop w:val="0"/>
      <w:marBottom w:val="0"/>
      <w:divBdr>
        <w:top w:val="none" w:sz="0" w:space="0" w:color="auto"/>
        <w:left w:val="none" w:sz="0" w:space="0" w:color="auto"/>
        <w:bottom w:val="none" w:sz="0" w:space="0" w:color="auto"/>
        <w:right w:val="none" w:sz="0" w:space="0" w:color="auto"/>
      </w:divBdr>
    </w:div>
    <w:div w:id="150662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5AIRPNAIUNRU-1328258698-19801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https://nokia.sharepoint.com/sites/c5g/5gradio/_layouts/15/DocIdRedir.aspx?ID=5AIRPNAIUNRU-1328258698-19801</Url>
      <Description>5AIRPNAIUNRU-1328258698-19801</Description>
    </_dlc_DocIdUrl>
    <TaxCatchAll xmlns="71c5aaf6-e6ce-465b-b873-5148d2a4c105" xsi:nil="true"/>
    <lcf76f155ced4ddcb4097134ff3c332f xmlns="0b6aed8e-0313-4d17-80ff-d0e5da4931c5">
      <Terms xmlns="http://schemas.microsoft.com/office/infopath/2007/PartnerControls"/>
    </lcf76f155ced4ddcb4097134ff3c332f>
    <SharedWithUsers xmlns="3b34c8f0-1ef5-4d1e-bb66-517ce7fe7356">
      <UserInfo>
        <DisplayName>Tan Yi (Nokia)</DisplayName>
        <AccountId>25878</AccountId>
        <AccountType/>
      </UserInfo>
    </SharedWithUsers>
  </documentManagement>
</p:properties>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3GPP_Paper_Template_RAN4_#105.dotx</Template>
  <TotalTime>4</TotalTime>
  <Pages>4</Pages>
  <Words>1769</Words>
  <Characters>10088</Characters>
  <Application>Microsoft Office Word</Application>
  <DocSecurity>0</DocSecurity>
  <Lines>84</Lines>
  <Paragraphs>23</Paragraphs>
  <ScaleCrop>false</ScaleCrop>
  <Company/>
  <LinksUpToDate>false</LinksUpToDate>
  <CharactersWithSpaces>11834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Nokia_v2</dc:creator>
  <cp:keywords>3GPP;RAN4</cp:keywords>
  <dc:description/>
  <cp:lastModifiedBy>Tan Yi (Nokia)</cp:lastModifiedBy>
  <cp:revision>3</cp:revision>
  <dcterms:created xsi:type="dcterms:W3CDTF">2023-02-17T14:36:00Z</dcterms:created>
  <dcterms:modified xsi:type="dcterms:W3CDTF">2023-02-17T14:40:00Z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df950ec5-f76b-4ec2-9689-8a6c9c2f9164</vt:lpwstr>
  </property>
  <property fmtid="{D5CDD505-2E9C-101B-9397-08002B2CF9AE}" pid="11" name="MediaServiceImageTags">
    <vt:lpwstr/>
  </property>
  <property fmtid="{D5CDD505-2E9C-101B-9397-08002B2CF9AE}" pid="12" name="GrammarlyDocumentId">
    <vt:lpwstr>053cf70dd23fe173b1e904ba6014d9ed5fac12b513db0f41ed97b7475fbda3f9</vt:lpwstr>
  </property>
</Properties>
</file>